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0BE" w:rsidRPr="00C460BE" w:rsidRDefault="00C460BE" w:rsidP="00C460BE">
      <w:pPr>
        <w:spacing w:line="240" w:lineRule="auto"/>
        <w:rPr>
          <w:rFonts w:ascii="Arial" w:eastAsia="Arial" w:hAnsi="Arial" w:cs="Arial"/>
          <w:sz w:val="24"/>
          <w:szCs w:val="24"/>
        </w:rPr>
      </w:pPr>
      <w:r w:rsidRPr="00C460BE">
        <w:rPr>
          <w:rFonts w:ascii="Arial" w:eastAsia="Arial" w:hAnsi="Arial" w:cs="Arial"/>
          <w:sz w:val="24"/>
          <w:szCs w:val="24"/>
        </w:rPr>
        <w:t>Bogotá D.C., 05 de agosto de 2019</w:t>
      </w:r>
    </w:p>
    <w:p w:rsidR="00C460BE" w:rsidRDefault="00C460BE" w:rsidP="00C460BE">
      <w:pPr>
        <w:spacing w:after="0" w:line="240" w:lineRule="auto"/>
        <w:rPr>
          <w:rFonts w:ascii="Arial" w:eastAsia="Arial" w:hAnsi="Arial" w:cs="Arial"/>
          <w:sz w:val="24"/>
          <w:szCs w:val="24"/>
        </w:rPr>
      </w:pPr>
    </w:p>
    <w:p w:rsidR="00C460BE" w:rsidRPr="00C460BE" w:rsidRDefault="00C460BE" w:rsidP="00C460BE">
      <w:pPr>
        <w:spacing w:after="0" w:line="240" w:lineRule="auto"/>
        <w:rPr>
          <w:rFonts w:ascii="Arial" w:eastAsia="Arial" w:hAnsi="Arial" w:cs="Arial"/>
          <w:sz w:val="24"/>
          <w:szCs w:val="24"/>
        </w:rPr>
      </w:pPr>
    </w:p>
    <w:p w:rsidR="00C460BE" w:rsidRPr="00C460BE" w:rsidRDefault="00C460BE" w:rsidP="00C460BE">
      <w:pPr>
        <w:spacing w:after="0" w:line="240" w:lineRule="auto"/>
        <w:rPr>
          <w:rFonts w:ascii="Arial" w:eastAsia="Arial" w:hAnsi="Arial" w:cs="Arial"/>
          <w:sz w:val="24"/>
          <w:szCs w:val="24"/>
        </w:rPr>
      </w:pPr>
      <w:r w:rsidRPr="00C460BE">
        <w:rPr>
          <w:rFonts w:ascii="Arial" w:eastAsia="Arial" w:hAnsi="Arial" w:cs="Arial"/>
          <w:sz w:val="24"/>
          <w:szCs w:val="24"/>
        </w:rPr>
        <w:t>Doctor</w:t>
      </w:r>
    </w:p>
    <w:p w:rsidR="00C460BE" w:rsidRPr="00C460BE" w:rsidRDefault="00C460BE" w:rsidP="00C460BE">
      <w:pPr>
        <w:spacing w:after="0" w:line="240" w:lineRule="auto"/>
        <w:rPr>
          <w:rFonts w:ascii="Arial" w:eastAsia="Arial" w:hAnsi="Arial" w:cs="Arial"/>
          <w:b/>
          <w:sz w:val="24"/>
          <w:szCs w:val="24"/>
        </w:rPr>
      </w:pPr>
      <w:r w:rsidRPr="00C460BE">
        <w:rPr>
          <w:rFonts w:ascii="Arial" w:eastAsia="Arial" w:hAnsi="Arial" w:cs="Arial"/>
          <w:b/>
          <w:sz w:val="24"/>
          <w:szCs w:val="24"/>
        </w:rPr>
        <w:t>JORGE HUMBERTO MANTILLA SERRANO</w:t>
      </w:r>
    </w:p>
    <w:p w:rsidR="00C460BE" w:rsidRPr="00C460BE" w:rsidRDefault="00C460BE" w:rsidP="00C460BE">
      <w:pPr>
        <w:spacing w:after="0" w:line="240" w:lineRule="auto"/>
        <w:rPr>
          <w:rFonts w:ascii="Arial" w:eastAsia="Arial" w:hAnsi="Arial" w:cs="Arial"/>
          <w:sz w:val="24"/>
          <w:szCs w:val="24"/>
        </w:rPr>
      </w:pPr>
      <w:r w:rsidRPr="00C460BE">
        <w:rPr>
          <w:rFonts w:ascii="Arial" w:eastAsia="Arial" w:hAnsi="Arial" w:cs="Arial"/>
          <w:sz w:val="24"/>
          <w:szCs w:val="24"/>
        </w:rPr>
        <w:t>Secretario General</w:t>
      </w:r>
    </w:p>
    <w:p w:rsidR="00C460BE" w:rsidRPr="00C460BE" w:rsidRDefault="00C460BE" w:rsidP="00C460BE">
      <w:pPr>
        <w:spacing w:after="0" w:line="240" w:lineRule="auto"/>
        <w:rPr>
          <w:rFonts w:ascii="Arial" w:eastAsia="Arial" w:hAnsi="Arial" w:cs="Arial"/>
          <w:sz w:val="24"/>
          <w:szCs w:val="24"/>
        </w:rPr>
      </w:pPr>
      <w:r>
        <w:rPr>
          <w:rFonts w:ascii="Arial" w:eastAsia="Arial" w:hAnsi="Arial" w:cs="Arial"/>
          <w:sz w:val="24"/>
          <w:szCs w:val="24"/>
        </w:rPr>
        <w:t xml:space="preserve">Cámara de Representantes </w:t>
      </w:r>
    </w:p>
    <w:p w:rsidR="00C460BE" w:rsidRPr="00C460BE" w:rsidRDefault="00C460BE" w:rsidP="00C460BE">
      <w:pPr>
        <w:spacing w:after="0" w:line="240" w:lineRule="auto"/>
        <w:rPr>
          <w:rFonts w:ascii="Arial" w:eastAsia="Arial" w:hAnsi="Arial" w:cs="Arial"/>
          <w:sz w:val="24"/>
          <w:szCs w:val="24"/>
        </w:rPr>
      </w:pPr>
      <w:r w:rsidRPr="00C460BE">
        <w:rPr>
          <w:rFonts w:ascii="Arial" w:eastAsia="Arial" w:hAnsi="Arial" w:cs="Arial"/>
          <w:sz w:val="24"/>
          <w:szCs w:val="24"/>
        </w:rPr>
        <w:t>Ciudad</w:t>
      </w:r>
    </w:p>
    <w:p w:rsidR="00C460BE" w:rsidRPr="00C460BE" w:rsidRDefault="00C460BE" w:rsidP="00C460BE">
      <w:pPr>
        <w:spacing w:after="0" w:line="240" w:lineRule="auto"/>
        <w:rPr>
          <w:rFonts w:ascii="Arial" w:eastAsia="Arial" w:hAnsi="Arial" w:cs="Arial"/>
          <w:sz w:val="24"/>
          <w:szCs w:val="24"/>
        </w:rPr>
      </w:pPr>
    </w:p>
    <w:p w:rsidR="00C460BE" w:rsidRDefault="00C460BE" w:rsidP="00C460BE">
      <w:pPr>
        <w:spacing w:line="240" w:lineRule="auto"/>
        <w:jc w:val="both"/>
        <w:rPr>
          <w:rFonts w:ascii="Arial" w:eastAsia="Arial" w:hAnsi="Arial" w:cs="Arial"/>
          <w:sz w:val="24"/>
          <w:szCs w:val="24"/>
        </w:rPr>
      </w:pPr>
      <w:r>
        <w:rPr>
          <w:rFonts w:ascii="Arial" w:eastAsia="Arial" w:hAnsi="Arial" w:cs="Arial"/>
          <w:sz w:val="24"/>
          <w:szCs w:val="24"/>
        </w:rPr>
        <w:t> </w:t>
      </w:r>
    </w:p>
    <w:p w:rsidR="00C460BE" w:rsidRPr="00C460BE" w:rsidRDefault="00C460BE" w:rsidP="001A564E">
      <w:pPr>
        <w:spacing w:after="0"/>
        <w:ind w:left="2694"/>
        <w:jc w:val="both"/>
        <w:rPr>
          <w:rFonts w:ascii="Arial" w:eastAsia="Arial" w:hAnsi="Arial" w:cs="Arial"/>
          <w:sz w:val="24"/>
          <w:szCs w:val="24"/>
        </w:rPr>
      </w:pPr>
      <w:r w:rsidRPr="00C460BE">
        <w:rPr>
          <w:rFonts w:ascii="Arial" w:eastAsia="Arial" w:hAnsi="Arial" w:cs="Arial"/>
          <w:sz w:val="24"/>
          <w:szCs w:val="24"/>
        </w:rPr>
        <w:t>Asunto: R</w:t>
      </w:r>
      <w:r w:rsidR="001A564E">
        <w:rPr>
          <w:rFonts w:ascii="Arial" w:eastAsia="Arial" w:hAnsi="Arial" w:cs="Arial"/>
          <w:sz w:val="24"/>
          <w:szCs w:val="24"/>
        </w:rPr>
        <w:t>adicación del Proyecto de Ley “</w:t>
      </w:r>
      <w:r w:rsidRPr="001A564E">
        <w:rPr>
          <w:rFonts w:ascii="Arial" w:eastAsia="Arial" w:hAnsi="Arial" w:cs="Arial"/>
          <w:i/>
          <w:sz w:val="24"/>
          <w:szCs w:val="24"/>
        </w:rPr>
        <w:t>Por medio de la cual se crean reglas de protección a las personas naturales que ejecuten contratos de prestación de servicios y de apoyo a la gestión y se dictan otras disposiciones</w:t>
      </w:r>
      <w:r w:rsidRPr="00C460BE">
        <w:rPr>
          <w:rFonts w:ascii="Arial" w:eastAsia="Arial" w:hAnsi="Arial" w:cs="Arial"/>
          <w:sz w:val="24"/>
          <w:szCs w:val="24"/>
        </w:rPr>
        <w:t>.”</w:t>
      </w:r>
    </w:p>
    <w:p w:rsidR="00C460BE" w:rsidRPr="00C460BE" w:rsidRDefault="00C460BE" w:rsidP="00C460BE">
      <w:pPr>
        <w:spacing w:line="240" w:lineRule="auto"/>
        <w:jc w:val="both"/>
        <w:rPr>
          <w:rFonts w:ascii="Arial" w:eastAsia="Arial" w:hAnsi="Arial" w:cs="Arial"/>
          <w:sz w:val="24"/>
          <w:szCs w:val="24"/>
        </w:rPr>
      </w:pPr>
    </w:p>
    <w:p w:rsidR="00C460BE" w:rsidRPr="00C460BE" w:rsidRDefault="00C460BE" w:rsidP="00C460BE">
      <w:pPr>
        <w:spacing w:line="240" w:lineRule="auto"/>
        <w:jc w:val="both"/>
        <w:rPr>
          <w:rFonts w:ascii="Arial" w:eastAsia="Arial" w:hAnsi="Arial" w:cs="Arial"/>
          <w:sz w:val="24"/>
          <w:szCs w:val="24"/>
        </w:rPr>
      </w:pPr>
      <w:r w:rsidRPr="00C460BE">
        <w:rPr>
          <w:rFonts w:ascii="Arial" w:eastAsia="Arial" w:hAnsi="Arial" w:cs="Arial"/>
          <w:sz w:val="24"/>
          <w:szCs w:val="24"/>
        </w:rPr>
        <w:t>Respetado Secretario General:</w:t>
      </w:r>
    </w:p>
    <w:p w:rsidR="00C460BE" w:rsidRDefault="00C460BE" w:rsidP="00C460BE">
      <w:pPr>
        <w:spacing w:line="240" w:lineRule="auto"/>
        <w:jc w:val="both"/>
        <w:rPr>
          <w:rFonts w:ascii="Arial" w:eastAsia="Arial" w:hAnsi="Arial" w:cs="Arial"/>
          <w:sz w:val="24"/>
          <w:szCs w:val="24"/>
        </w:rPr>
      </w:pPr>
    </w:p>
    <w:p w:rsidR="00C460BE" w:rsidRPr="00C460BE" w:rsidRDefault="00C460BE" w:rsidP="00C460BE">
      <w:pPr>
        <w:spacing w:line="240" w:lineRule="auto"/>
        <w:jc w:val="both"/>
        <w:rPr>
          <w:rFonts w:ascii="Arial" w:eastAsia="Arial" w:hAnsi="Arial" w:cs="Arial"/>
          <w:sz w:val="24"/>
          <w:szCs w:val="24"/>
        </w:rPr>
      </w:pPr>
      <w:r w:rsidRPr="00C460BE">
        <w:rPr>
          <w:rFonts w:ascii="Arial" w:eastAsia="Arial" w:hAnsi="Arial" w:cs="Arial"/>
          <w:sz w:val="24"/>
          <w:szCs w:val="24"/>
        </w:rPr>
        <w:t>En nuestra calidad de Congresistas de la República y en uso de las atribuciones que nos han sido conferidas constitucional y legalmente, nos permitimos respetuosamente radicar el Proyecto de Ley de la referencia y, en consecuencia, le solicitamos se sirva dar inicio al trámite legislativo respectivo.</w:t>
      </w:r>
    </w:p>
    <w:p w:rsidR="00C460BE" w:rsidRPr="00C460BE" w:rsidRDefault="00C460BE" w:rsidP="00C460BE">
      <w:pPr>
        <w:spacing w:after="0" w:line="240" w:lineRule="auto"/>
        <w:rPr>
          <w:rFonts w:ascii="Arial" w:eastAsia="Arial" w:hAnsi="Arial" w:cs="Arial"/>
          <w:sz w:val="24"/>
          <w:szCs w:val="24"/>
        </w:rPr>
      </w:pPr>
    </w:p>
    <w:p w:rsidR="00C460BE" w:rsidRPr="00C460BE" w:rsidRDefault="00C460BE" w:rsidP="00C460BE">
      <w:pPr>
        <w:spacing w:line="240" w:lineRule="auto"/>
        <w:jc w:val="both"/>
        <w:rPr>
          <w:rFonts w:ascii="Arial" w:eastAsia="Arial" w:hAnsi="Arial" w:cs="Arial"/>
          <w:sz w:val="24"/>
          <w:szCs w:val="24"/>
        </w:rPr>
      </w:pPr>
      <w:r w:rsidRPr="00C460BE">
        <w:rPr>
          <w:rFonts w:ascii="Arial" w:eastAsia="Arial" w:hAnsi="Arial" w:cs="Arial"/>
          <w:sz w:val="24"/>
          <w:szCs w:val="24"/>
        </w:rPr>
        <w:t>Cordial saludo,</w:t>
      </w:r>
    </w:p>
    <w:p w:rsidR="00C460BE" w:rsidRDefault="00C460BE" w:rsidP="00C460BE">
      <w:pPr>
        <w:spacing w:after="240" w:line="240" w:lineRule="auto"/>
        <w:rPr>
          <w:rFonts w:ascii="Arial" w:eastAsia="Arial" w:hAnsi="Arial" w:cs="Arial"/>
          <w:sz w:val="24"/>
          <w:szCs w:val="24"/>
        </w:rPr>
      </w:pPr>
    </w:p>
    <w:p w:rsidR="00C460BE" w:rsidRDefault="00C460BE" w:rsidP="00C460BE">
      <w:pPr>
        <w:spacing w:after="240" w:line="240" w:lineRule="auto"/>
        <w:rPr>
          <w:rFonts w:ascii="Arial" w:eastAsia="Arial" w:hAnsi="Arial" w:cs="Arial"/>
          <w:sz w:val="24"/>
          <w:szCs w:val="24"/>
        </w:rPr>
      </w:pPr>
    </w:p>
    <w:p w:rsidR="00C460BE" w:rsidRPr="00C460BE" w:rsidRDefault="00C460BE" w:rsidP="00C460BE">
      <w:pPr>
        <w:spacing w:after="0" w:line="240" w:lineRule="auto"/>
        <w:jc w:val="both"/>
        <w:rPr>
          <w:rFonts w:ascii="Arial" w:eastAsia="Arial" w:hAnsi="Arial" w:cs="Arial"/>
          <w:b/>
          <w:sz w:val="24"/>
          <w:szCs w:val="24"/>
        </w:rPr>
      </w:pPr>
      <w:r w:rsidRPr="00C460BE">
        <w:rPr>
          <w:rFonts w:ascii="Arial" w:eastAsia="Arial" w:hAnsi="Arial" w:cs="Arial"/>
          <w:b/>
          <w:sz w:val="24"/>
          <w:szCs w:val="24"/>
        </w:rPr>
        <w:t>CARLOS</w:t>
      </w:r>
      <w:r>
        <w:rPr>
          <w:rFonts w:ascii="Arial" w:eastAsia="Arial" w:hAnsi="Arial" w:cs="Arial"/>
          <w:b/>
          <w:sz w:val="24"/>
          <w:szCs w:val="24"/>
        </w:rPr>
        <w:t xml:space="preserve"> EDUARDO </w:t>
      </w:r>
      <w:r w:rsidRPr="00C460BE">
        <w:rPr>
          <w:rFonts w:ascii="Arial" w:eastAsia="Arial" w:hAnsi="Arial" w:cs="Arial"/>
          <w:b/>
          <w:sz w:val="24"/>
          <w:szCs w:val="24"/>
        </w:rPr>
        <w:t>GUEVARA V</w:t>
      </w:r>
      <w:r>
        <w:rPr>
          <w:rFonts w:ascii="Arial" w:eastAsia="Arial" w:hAnsi="Arial" w:cs="Arial"/>
          <w:b/>
          <w:sz w:val="24"/>
          <w:szCs w:val="24"/>
        </w:rPr>
        <w:t>.</w:t>
      </w:r>
      <w:r w:rsidRPr="00C460BE">
        <w:rPr>
          <w:rFonts w:ascii="Arial" w:eastAsia="Arial" w:hAnsi="Arial" w:cs="Arial"/>
          <w:b/>
          <w:sz w:val="24"/>
          <w:szCs w:val="24"/>
        </w:rPr>
        <w:t xml:space="preserve">            </w:t>
      </w:r>
      <w:r>
        <w:rPr>
          <w:rFonts w:ascii="Arial" w:eastAsia="Arial" w:hAnsi="Arial" w:cs="Arial"/>
          <w:b/>
          <w:sz w:val="24"/>
          <w:szCs w:val="24"/>
        </w:rPr>
        <w:tab/>
      </w:r>
      <w:r w:rsidRPr="00C460BE">
        <w:rPr>
          <w:rFonts w:ascii="Arial" w:eastAsia="Arial" w:hAnsi="Arial" w:cs="Arial"/>
          <w:b/>
          <w:sz w:val="24"/>
          <w:szCs w:val="24"/>
        </w:rPr>
        <w:t>AYDEÉ LIZARAZO CUBILLOS</w:t>
      </w:r>
    </w:p>
    <w:p w:rsidR="00C460BE" w:rsidRPr="00C460BE" w:rsidRDefault="00C460BE" w:rsidP="00C460BE">
      <w:pPr>
        <w:spacing w:after="0" w:line="240" w:lineRule="auto"/>
        <w:jc w:val="both"/>
        <w:rPr>
          <w:rFonts w:ascii="Arial" w:eastAsia="Arial" w:hAnsi="Arial" w:cs="Arial"/>
          <w:sz w:val="24"/>
          <w:szCs w:val="24"/>
        </w:rPr>
      </w:pPr>
      <w:r w:rsidRPr="00C460BE">
        <w:rPr>
          <w:rFonts w:ascii="Arial" w:eastAsia="Arial" w:hAnsi="Arial" w:cs="Arial"/>
          <w:sz w:val="24"/>
          <w:szCs w:val="24"/>
        </w:rPr>
        <w:t>Senador de la República                         </w:t>
      </w:r>
      <w:r>
        <w:rPr>
          <w:rFonts w:ascii="Arial" w:eastAsia="Arial" w:hAnsi="Arial" w:cs="Arial"/>
          <w:sz w:val="24"/>
          <w:szCs w:val="24"/>
        </w:rPr>
        <w:tab/>
      </w:r>
      <w:r>
        <w:rPr>
          <w:rFonts w:ascii="Arial" w:eastAsia="Arial" w:hAnsi="Arial" w:cs="Arial"/>
          <w:sz w:val="24"/>
          <w:szCs w:val="24"/>
        </w:rPr>
        <w:tab/>
      </w:r>
      <w:r w:rsidRPr="00C460BE">
        <w:rPr>
          <w:rFonts w:ascii="Arial" w:eastAsia="Arial" w:hAnsi="Arial" w:cs="Arial"/>
          <w:sz w:val="24"/>
          <w:szCs w:val="24"/>
        </w:rPr>
        <w:t>Senadora de la República        </w:t>
      </w:r>
    </w:p>
    <w:p w:rsidR="00C460BE" w:rsidRPr="00C460BE" w:rsidRDefault="00C460BE" w:rsidP="00C460BE">
      <w:pPr>
        <w:spacing w:after="0" w:line="240" w:lineRule="auto"/>
        <w:jc w:val="both"/>
        <w:rPr>
          <w:rFonts w:ascii="Arial" w:eastAsia="Arial" w:hAnsi="Arial" w:cs="Arial"/>
          <w:sz w:val="24"/>
          <w:szCs w:val="24"/>
        </w:rPr>
      </w:pPr>
      <w:r w:rsidRPr="00C460BE">
        <w:rPr>
          <w:rFonts w:ascii="Arial" w:eastAsia="Arial" w:hAnsi="Arial" w:cs="Arial"/>
          <w:sz w:val="24"/>
          <w:szCs w:val="24"/>
        </w:rPr>
        <w:t xml:space="preserve">Partido Político MIRA                               </w:t>
      </w:r>
      <w:r>
        <w:rPr>
          <w:rFonts w:ascii="Arial" w:eastAsia="Arial" w:hAnsi="Arial" w:cs="Arial"/>
          <w:sz w:val="24"/>
          <w:szCs w:val="24"/>
        </w:rPr>
        <w:tab/>
      </w:r>
      <w:r w:rsidRPr="00C460BE">
        <w:rPr>
          <w:rFonts w:ascii="Arial" w:eastAsia="Arial" w:hAnsi="Arial" w:cs="Arial"/>
          <w:sz w:val="24"/>
          <w:szCs w:val="24"/>
        </w:rPr>
        <w:t>Partido Político MIRA</w:t>
      </w:r>
    </w:p>
    <w:p w:rsidR="00C460BE" w:rsidRDefault="00C460BE" w:rsidP="00C460BE">
      <w:pPr>
        <w:spacing w:line="240" w:lineRule="auto"/>
        <w:jc w:val="both"/>
        <w:rPr>
          <w:rFonts w:ascii="Arial" w:eastAsia="Arial" w:hAnsi="Arial" w:cs="Arial"/>
          <w:sz w:val="24"/>
          <w:szCs w:val="24"/>
        </w:rPr>
      </w:pPr>
    </w:p>
    <w:p w:rsidR="00C460BE" w:rsidRPr="00C460BE" w:rsidRDefault="00C460BE" w:rsidP="00C460BE">
      <w:pPr>
        <w:spacing w:line="240" w:lineRule="auto"/>
        <w:jc w:val="both"/>
        <w:rPr>
          <w:rFonts w:ascii="Arial" w:eastAsia="Arial" w:hAnsi="Arial" w:cs="Arial"/>
          <w:sz w:val="24"/>
          <w:szCs w:val="24"/>
        </w:rPr>
      </w:pPr>
      <w:r w:rsidRPr="00C460BE">
        <w:rPr>
          <w:rFonts w:ascii="Arial" w:eastAsia="Arial" w:hAnsi="Arial" w:cs="Arial"/>
          <w:sz w:val="24"/>
          <w:szCs w:val="24"/>
        </w:rPr>
        <w:t>     </w:t>
      </w:r>
    </w:p>
    <w:p w:rsidR="00C460BE" w:rsidRPr="00C460BE" w:rsidRDefault="00C460BE" w:rsidP="00C460BE">
      <w:pPr>
        <w:spacing w:after="0" w:line="240" w:lineRule="auto"/>
        <w:rPr>
          <w:rFonts w:ascii="Arial" w:eastAsia="Arial" w:hAnsi="Arial" w:cs="Arial"/>
          <w:sz w:val="24"/>
          <w:szCs w:val="24"/>
        </w:rPr>
      </w:pPr>
    </w:p>
    <w:p w:rsidR="00C460BE" w:rsidRPr="00C460BE" w:rsidRDefault="00C460BE" w:rsidP="00C460BE">
      <w:pPr>
        <w:spacing w:after="0" w:line="240" w:lineRule="auto"/>
        <w:jc w:val="both"/>
        <w:rPr>
          <w:rFonts w:ascii="Arial" w:eastAsia="Arial" w:hAnsi="Arial" w:cs="Arial"/>
          <w:b/>
          <w:sz w:val="24"/>
          <w:szCs w:val="24"/>
        </w:rPr>
      </w:pPr>
      <w:r w:rsidRPr="00C460BE">
        <w:rPr>
          <w:rFonts w:ascii="Arial" w:eastAsia="Arial" w:hAnsi="Arial" w:cs="Arial"/>
          <w:b/>
          <w:sz w:val="24"/>
          <w:szCs w:val="24"/>
        </w:rPr>
        <w:t xml:space="preserve">ANA PAOLA AGUDELO </w:t>
      </w:r>
      <w:r>
        <w:rPr>
          <w:rFonts w:ascii="Arial" w:eastAsia="Arial" w:hAnsi="Arial" w:cs="Arial"/>
          <w:b/>
          <w:sz w:val="24"/>
          <w:szCs w:val="24"/>
        </w:rPr>
        <w:t>GARCIA</w:t>
      </w:r>
      <w:r w:rsidRPr="00C460BE">
        <w:rPr>
          <w:rFonts w:ascii="Arial" w:eastAsia="Arial" w:hAnsi="Arial" w:cs="Arial"/>
          <w:b/>
          <w:sz w:val="24"/>
          <w:szCs w:val="24"/>
        </w:rPr>
        <w:t xml:space="preserve">                    </w:t>
      </w:r>
      <w:r>
        <w:rPr>
          <w:rFonts w:ascii="Arial" w:eastAsia="Arial" w:hAnsi="Arial" w:cs="Arial"/>
          <w:b/>
          <w:sz w:val="24"/>
          <w:szCs w:val="24"/>
        </w:rPr>
        <w:t>I</w:t>
      </w:r>
      <w:r w:rsidRPr="00C460BE">
        <w:rPr>
          <w:rFonts w:ascii="Arial" w:eastAsia="Arial" w:hAnsi="Arial" w:cs="Arial"/>
          <w:b/>
          <w:sz w:val="24"/>
          <w:szCs w:val="24"/>
        </w:rPr>
        <w:t>RMA LUZ HERRERA</w:t>
      </w:r>
      <w:r>
        <w:rPr>
          <w:rFonts w:ascii="Arial" w:eastAsia="Arial" w:hAnsi="Arial" w:cs="Arial"/>
          <w:b/>
          <w:sz w:val="24"/>
          <w:szCs w:val="24"/>
        </w:rPr>
        <w:t xml:space="preserve"> R. </w:t>
      </w:r>
    </w:p>
    <w:p w:rsidR="00C460BE" w:rsidRPr="00C460BE" w:rsidRDefault="00C460BE" w:rsidP="00C460BE">
      <w:pPr>
        <w:spacing w:after="0" w:line="240" w:lineRule="auto"/>
        <w:jc w:val="both"/>
        <w:rPr>
          <w:rFonts w:ascii="Arial" w:eastAsia="Arial" w:hAnsi="Arial" w:cs="Arial"/>
          <w:sz w:val="24"/>
          <w:szCs w:val="24"/>
        </w:rPr>
      </w:pPr>
      <w:r w:rsidRPr="00C460BE">
        <w:rPr>
          <w:rFonts w:ascii="Arial" w:eastAsia="Arial" w:hAnsi="Arial" w:cs="Arial"/>
          <w:sz w:val="24"/>
          <w:szCs w:val="24"/>
        </w:rPr>
        <w:t xml:space="preserve">Senador de la República                          </w:t>
      </w:r>
      <w:r>
        <w:rPr>
          <w:rFonts w:ascii="Arial" w:eastAsia="Arial" w:hAnsi="Arial" w:cs="Arial"/>
          <w:sz w:val="24"/>
          <w:szCs w:val="24"/>
        </w:rPr>
        <w:tab/>
      </w:r>
      <w:r w:rsidRPr="00C460BE">
        <w:rPr>
          <w:rFonts w:ascii="Arial" w:eastAsia="Arial" w:hAnsi="Arial" w:cs="Arial"/>
          <w:sz w:val="24"/>
          <w:szCs w:val="24"/>
        </w:rPr>
        <w:t>Representante a la Cámara</w:t>
      </w:r>
    </w:p>
    <w:p w:rsidR="00C460BE" w:rsidRPr="00C460BE" w:rsidRDefault="00C460BE" w:rsidP="00C460BE">
      <w:pPr>
        <w:spacing w:after="0" w:line="240" w:lineRule="auto"/>
        <w:jc w:val="both"/>
        <w:rPr>
          <w:rFonts w:ascii="Arial" w:eastAsia="Arial" w:hAnsi="Arial" w:cs="Arial"/>
          <w:sz w:val="24"/>
          <w:szCs w:val="24"/>
        </w:rPr>
      </w:pPr>
      <w:r w:rsidRPr="00C460BE">
        <w:rPr>
          <w:rFonts w:ascii="Arial" w:eastAsia="Arial" w:hAnsi="Arial" w:cs="Arial"/>
          <w:sz w:val="24"/>
          <w:szCs w:val="24"/>
        </w:rPr>
        <w:t xml:space="preserve">Partido Político MIRA                                </w:t>
      </w:r>
      <w:r>
        <w:rPr>
          <w:rFonts w:ascii="Arial" w:eastAsia="Arial" w:hAnsi="Arial" w:cs="Arial"/>
          <w:sz w:val="24"/>
          <w:szCs w:val="24"/>
        </w:rPr>
        <w:tab/>
      </w:r>
      <w:r w:rsidRPr="00C460BE">
        <w:rPr>
          <w:rFonts w:ascii="Arial" w:eastAsia="Arial" w:hAnsi="Arial" w:cs="Arial"/>
          <w:sz w:val="24"/>
          <w:szCs w:val="24"/>
        </w:rPr>
        <w:t>Partido Político MIRA</w:t>
      </w:r>
    </w:p>
    <w:p w:rsidR="00C460BE" w:rsidRDefault="00C460BE">
      <w:pPr>
        <w:spacing w:after="0"/>
        <w:jc w:val="center"/>
        <w:rPr>
          <w:rFonts w:ascii="Arial" w:eastAsia="Arial" w:hAnsi="Arial" w:cs="Arial"/>
          <w:b/>
          <w:sz w:val="24"/>
          <w:szCs w:val="24"/>
        </w:rPr>
      </w:pPr>
    </w:p>
    <w:p w:rsidR="00A82D64" w:rsidRDefault="001A564E">
      <w:pPr>
        <w:spacing w:after="0"/>
        <w:jc w:val="center"/>
        <w:rPr>
          <w:rFonts w:ascii="Arial" w:eastAsia="Arial" w:hAnsi="Arial" w:cs="Arial"/>
          <w:b/>
          <w:sz w:val="24"/>
          <w:szCs w:val="24"/>
        </w:rPr>
      </w:pPr>
      <w:r>
        <w:rPr>
          <w:rFonts w:ascii="Arial" w:eastAsia="Arial" w:hAnsi="Arial" w:cs="Arial"/>
          <w:b/>
          <w:sz w:val="24"/>
          <w:szCs w:val="24"/>
        </w:rPr>
        <w:t xml:space="preserve">PROYECTO DE LEY No. __ </w:t>
      </w:r>
      <w:proofErr w:type="gramStart"/>
      <w:r>
        <w:rPr>
          <w:rFonts w:ascii="Arial" w:eastAsia="Arial" w:hAnsi="Arial" w:cs="Arial"/>
          <w:b/>
          <w:sz w:val="24"/>
          <w:szCs w:val="24"/>
        </w:rPr>
        <w:t>d</w:t>
      </w:r>
      <w:r w:rsidR="007E62C7">
        <w:rPr>
          <w:rFonts w:ascii="Arial" w:eastAsia="Arial" w:hAnsi="Arial" w:cs="Arial"/>
          <w:b/>
          <w:sz w:val="24"/>
          <w:szCs w:val="24"/>
        </w:rPr>
        <w:t>e</w:t>
      </w:r>
      <w:proofErr w:type="gramEnd"/>
      <w:r w:rsidR="007E62C7">
        <w:rPr>
          <w:rFonts w:ascii="Arial" w:eastAsia="Arial" w:hAnsi="Arial" w:cs="Arial"/>
          <w:b/>
          <w:sz w:val="24"/>
          <w:szCs w:val="24"/>
        </w:rPr>
        <w:t xml:space="preserve"> 2019 </w:t>
      </w:r>
    </w:p>
    <w:p w:rsidR="00A82D64" w:rsidRDefault="007E62C7">
      <w:pPr>
        <w:spacing w:after="0"/>
        <w:jc w:val="center"/>
        <w:rPr>
          <w:rFonts w:ascii="Arial" w:eastAsia="Arial" w:hAnsi="Arial" w:cs="Arial"/>
          <w:b/>
          <w:sz w:val="24"/>
          <w:szCs w:val="24"/>
        </w:rPr>
      </w:pPr>
      <w:r>
        <w:rPr>
          <w:rFonts w:ascii="Arial" w:eastAsia="Arial" w:hAnsi="Arial" w:cs="Arial"/>
          <w:b/>
          <w:sz w:val="24"/>
          <w:szCs w:val="24"/>
        </w:rPr>
        <w:t xml:space="preserve"> “</w:t>
      </w:r>
      <w:r w:rsidRPr="008C3182">
        <w:rPr>
          <w:rFonts w:ascii="Arial" w:eastAsia="Arial" w:hAnsi="Arial" w:cs="Arial"/>
          <w:b/>
          <w:i/>
          <w:sz w:val="24"/>
          <w:szCs w:val="24"/>
        </w:rPr>
        <w:t>Por medio de la cual se crean reglas de protección a las personas naturales que ejecuten contratos de prestación de servicios y de apoyo a la gestión y se dictan otras disposiciones.”</w:t>
      </w:r>
    </w:p>
    <w:p w:rsidR="00A82D64" w:rsidRDefault="00A82D64">
      <w:pPr>
        <w:jc w:val="center"/>
        <w:rPr>
          <w:rFonts w:ascii="Arial" w:eastAsia="Arial" w:hAnsi="Arial" w:cs="Arial"/>
          <w:sz w:val="24"/>
          <w:szCs w:val="24"/>
        </w:rPr>
      </w:pPr>
    </w:p>
    <w:p w:rsidR="00A82D64" w:rsidRDefault="007E62C7">
      <w:pPr>
        <w:jc w:val="center"/>
        <w:rPr>
          <w:rFonts w:ascii="Arial" w:eastAsia="Arial" w:hAnsi="Arial" w:cs="Arial"/>
          <w:sz w:val="24"/>
          <w:szCs w:val="24"/>
        </w:rPr>
      </w:pPr>
      <w:r>
        <w:rPr>
          <w:rFonts w:ascii="Arial" w:eastAsia="Arial" w:hAnsi="Arial" w:cs="Arial"/>
          <w:sz w:val="24"/>
          <w:szCs w:val="24"/>
        </w:rPr>
        <w:t xml:space="preserve">El Congreso de Colombia, </w:t>
      </w:r>
    </w:p>
    <w:p w:rsidR="00A82D64" w:rsidRDefault="007E62C7">
      <w:pPr>
        <w:jc w:val="center"/>
        <w:rPr>
          <w:rFonts w:ascii="Arial" w:eastAsia="Arial" w:hAnsi="Arial" w:cs="Arial"/>
          <w:sz w:val="24"/>
          <w:szCs w:val="24"/>
        </w:rPr>
      </w:pPr>
      <w:r>
        <w:rPr>
          <w:rFonts w:ascii="Arial" w:eastAsia="Arial" w:hAnsi="Arial" w:cs="Arial"/>
          <w:sz w:val="24"/>
          <w:szCs w:val="24"/>
        </w:rPr>
        <w:t>DECRETA:</w:t>
      </w:r>
    </w:p>
    <w:p w:rsidR="00A82D64" w:rsidRDefault="007E62C7">
      <w:pPr>
        <w:jc w:val="both"/>
        <w:rPr>
          <w:rFonts w:ascii="Arial" w:eastAsia="Arial" w:hAnsi="Arial" w:cs="Arial"/>
          <w:sz w:val="24"/>
          <w:szCs w:val="24"/>
        </w:rPr>
      </w:pPr>
      <w:r>
        <w:rPr>
          <w:rFonts w:ascii="Arial" w:eastAsia="Arial" w:hAnsi="Arial" w:cs="Arial"/>
          <w:b/>
          <w:sz w:val="24"/>
          <w:szCs w:val="24"/>
        </w:rPr>
        <w:t xml:space="preserve">Artículo 1. </w:t>
      </w:r>
      <w:r w:rsidRPr="0028273D">
        <w:rPr>
          <w:rFonts w:ascii="Arial" w:eastAsia="Arial" w:hAnsi="Arial" w:cs="Arial"/>
          <w:b/>
          <w:i/>
          <w:sz w:val="24"/>
          <w:szCs w:val="24"/>
        </w:rPr>
        <w:t>Objeto</w:t>
      </w:r>
      <w:r>
        <w:rPr>
          <w:rFonts w:ascii="Arial" w:eastAsia="Arial" w:hAnsi="Arial" w:cs="Arial"/>
          <w:b/>
          <w:sz w:val="24"/>
          <w:szCs w:val="24"/>
        </w:rPr>
        <w:t>.</w:t>
      </w:r>
      <w:r>
        <w:rPr>
          <w:rFonts w:ascii="Arial" w:eastAsia="Arial" w:hAnsi="Arial" w:cs="Arial"/>
          <w:sz w:val="24"/>
          <w:szCs w:val="24"/>
        </w:rPr>
        <w:t xml:space="preserve"> La presente ley tiene como objeto regular el descanso programado a favor de los contratistas de prestación de servicios personales y de apoyo a la gestión, el Ingreso Base de Cotización al Sistema de Seguridad Social Integral para estos contratos, la afiliación a cargo del contratante a las Cajas de Compensación Familiar y el pago oportuno de la cuenta de cobro.</w:t>
      </w:r>
    </w:p>
    <w:p w:rsidR="00A82D64" w:rsidRDefault="007E62C7">
      <w:pPr>
        <w:jc w:val="both"/>
        <w:rPr>
          <w:rFonts w:ascii="Arial" w:eastAsia="Arial" w:hAnsi="Arial" w:cs="Arial"/>
          <w:sz w:val="24"/>
          <w:szCs w:val="24"/>
        </w:rPr>
      </w:pPr>
      <w:r>
        <w:rPr>
          <w:rFonts w:ascii="Arial" w:eastAsia="Arial" w:hAnsi="Arial" w:cs="Arial"/>
          <w:sz w:val="24"/>
          <w:szCs w:val="24"/>
        </w:rPr>
        <w:t>Todas las disposiciones contenidas en la presente ley, le serán aplicables a las personas naturales que ejecuten la prestación de un servicio en favor de una persona natural o jurídica de derecho público o privado, bajo la modalidad de contrato de prestación de servicios, apoyo a la gestión, consultoría y/o asesoría.</w:t>
      </w:r>
    </w:p>
    <w:p w:rsidR="00A82D64" w:rsidRDefault="007E62C7">
      <w:pPr>
        <w:jc w:val="both"/>
        <w:rPr>
          <w:rFonts w:ascii="Arial" w:eastAsia="Arial" w:hAnsi="Arial" w:cs="Arial"/>
          <w:sz w:val="24"/>
          <w:szCs w:val="24"/>
        </w:rPr>
      </w:pPr>
      <w:bookmarkStart w:id="0" w:name="_heading=h.gjdgxs" w:colFirst="0" w:colLast="0"/>
      <w:bookmarkEnd w:id="0"/>
      <w:r>
        <w:rPr>
          <w:rFonts w:ascii="Arial" w:eastAsia="Arial" w:hAnsi="Arial" w:cs="Arial"/>
          <w:b/>
          <w:sz w:val="24"/>
          <w:szCs w:val="24"/>
        </w:rPr>
        <w:t>Artículo 2</w:t>
      </w:r>
      <w:r w:rsidRPr="0028273D">
        <w:rPr>
          <w:rFonts w:ascii="Arial" w:eastAsia="Arial" w:hAnsi="Arial" w:cs="Arial"/>
          <w:b/>
          <w:i/>
          <w:sz w:val="24"/>
          <w:szCs w:val="24"/>
        </w:rPr>
        <w:t>. Descanso Programado</w:t>
      </w:r>
      <w:r>
        <w:rPr>
          <w:rFonts w:ascii="Arial" w:eastAsia="Arial" w:hAnsi="Arial" w:cs="Arial"/>
          <w:b/>
          <w:sz w:val="24"/>
          <w:szCs w:val="24"/>
        </w:rPr>
        <w:t>.</w:t>
      </w:r>
      <w:r>
        <w:rPr>
          <w:rFonts w:ascii="Arial" w:eastAsia="Arial" w:hAnsi="Arial" w:cs="Arial"/>
          <w:b/>
          <w:i/>
          <w:sz w:val="24"/>
          <w:szCs w:val="24"/>
        </w:rPr>
        <w:t xml:space="preserve"> </w:t>
      </w:r>
      <w:r>
        <w:rPr>
          <w:rFonts w:ascii="Arial" w:eastAsia="Arial" w:hAnsi="Arial" w:cs="Arial"/>
          <w:sz w:val="24"/>
          <w:szCs w:val="24"/>
        </w:rPr>
        <w:t xml:space="preserve">La persona natural que ejecute la prestación de un servicio en favor de una persona natural o jurídica de derecho público o privado, bajo la modalidad de contrato de prestación de servicios, apoyo a la gestión, consultoría y/o asesoría, tendrá derecho a un (01) día hábil de descanso por cada mes de prestación de servicios personales, que será reconocido como valor adicional dentro de sus pagos una vez finalice el contrato. </w:t>
      </w:r>
    </w:p>
    <w:p w:rsidR="00A82D64" w:rsidRDefault="007E62C7">
      <w:pPr>
        <w:jc w:val="both"/>
        <w:rPr>
          <w:rFonts w:ascii="Arial" w:eastAsia="Arial" w:hAnsi="Arial" w:cs="Arial"/>
          <w:sz w:val="24"/>
          <w:szCs w:val="24"/>
        </w:rPr>
      </w:pPr>
      <w:r>
        <w:rPr>
          <w:rFonts w:ascii="Arial" w:eastAsia="Arial" w:hAnsi="Arial" w:cs="Arial"/>
          <w:b/>
          <w:sz w:val="24"/>
          <w:szCs w:val="24"/>
        </w:rPr>
        <w:t xml:space="preserve">Parágrafo. </w:t>
      </w:r>
      <w:r>
        <w:rPr>
          <w:rFonts w:ascii="Arial" w:eastAsia="Arial" w:hAnsi="Arial" w:cs="Arial"/>
          <w:sz w:val="24"/>
          <w:szCs w:val="24"/>
        </w:rPr>
        <w:t>De presentarse la renovación sucesiva de contratos de prestación de servicios</w:t>
      </w:r>
      <w:r>
        <w:rPr>
          <w:rFonts w:ascii="Arial" w:eastAsia="Arial" w:hAnsi="Arial" w:cs="Arial"/>
          <w:b/>
          <w:sz w:val="24"/>
          <w:szCs w:val="24"/>
        </w:rPr>
        <w:t>,</w:t>
      </w:r>
      <w:r>
        <w:rPr>
          <w:rFonts w:ascii="Arial" w:eastAsia="Arial" w:hAnsi="Arial" w:cs="Arial"/>
          <w:sz w:val="24"/>
          <w:szCs w:val="24"/>
        </w:rPr>
        <w:t xml:space="preserve"> las partes podrán acordar el momento en el que se harán efectivos los días de descanso programado. </w:t>
      </w:r>
    </w:p>
    <w:p w:rsidR="00A82D64" w:rsidRDefault="007E62C7">
      <w:pPr>
        <w:jc w:val="both"/>
        <w:rPr>
          <w:rFonts w:ascii="Arial" w:eastAsia="Arial" w:hAnsi="Arial" w:cs="Arial"/>
          <w:sz w:val="24"/>
          <w:szCs w:val="24"/>
        </w:rPr>
      </w:pPr>
      <w:r>
        <w:rPr>
          <w:rFonts w:ascii="Arial" w:eastAsia="Arial" w:hAnsi="Arial" w:cs="Arial"/>
          <w:b/>
          <w:sz w:val="24"/>
          <w:szCs w:val="24"/>
        </w:rPr>
        <w:t xml:space="preserve">Artículo 3. </w:t>
      </w:r>
      <w:r>
        <w:rPr>
          <w:rFonts w:ascii="Arial" w:eastAsia="Arial" w:hAnsi="Arial" w:cs="Arial"/>
          <w:b/>
          <w:i/>
          <w:sz w:val="24"/>
          <w:szCs w:val="24"/>
        </w:rPr>
        <w:t xml:space="preserve">Fórmula del descanso remunerado. </w:t>
      </w:r>
      <w:r>
        <w:rPr>
          <w:rFonts w:ascii="Arial" w:eastAsia="Arial" w:hAnsi="Arial" w:cs="Arial"/>
          <w:sz w:val="24"/>
          <w:szCs w:val="24"/>
        </w:rPr>
        <w:t xml:space="preserve">El valor del día de descanso pago se determinará mensualizando el valor total del contrato y deberá dividirse en treinta (30) días, este valor será reconocido como  día de descanso. </w:t>
      </w:r>
    </w:p>
    <w:p w:rsidR="00A82D64" w:rsidRDefault="007E62C7">
      <w:pPr>
        <w:jc w:val="both"/>
        <w:rPr>
          <w:rFonts w:ascii="Arial" w:eastAsia="Arial" w:hAnsi="Arial" w:cs="Arial"/>
          <w:sz w:val="24"/>
          <w:szCs w:val="24"/>
        </w:rPr>
      </w:pPr>
      <w:r>
        <w:rPr>
          <w:rFonts w:ascii="Arial" w:eastAsia="Arial" w:hAnsi="Arial" w:cs="Arial"/>
          <w:b/>
          <w:sz w:val="24"/>
          <w:szCs w:val="24"/>
        </w:rPr>
        <w:t xml:space="preserve">Artículo 4. </w:t>
      </w:r>
      <w:r w:rsidRPr="0028273D">
        <w:rPr>
          <w:rFonts w:ascii="Arial" w:eastAsia="Arial" w:hAnsi="Arial" w:cs="Arial"/>
          <w:b/>
          <w:i/>
          <w:sz w:val="24"/>
          <w:szCs w:val="24"/>
        </w:rPr>
        <w:t xml:space="preserve">Ingreso Base de </w:t>
      </w:r>
      <w:r w:rsidR="00C460BE" w:rsidRPr="0028273D">
        <w:rPr>
          <w:rFonts w:ascii="Arial" w:eastAsia="Arial" w:hAnsi="Arial" w:cs="Arial"/>
          <w:b/>
          <w:i/>
          <w:sz w:val="24"/>
          <w:szCs w:val="24"/>
        </w:rPr>
        <w:t>Cotización</w:t>
      </w:r>
      <w:r w:rsidRPr="0028273D">
        <w:rPr>
          <w:rFonts w:ascii="Arial" w:eastAsia="Arial" w:hAnsi="Arial" w:cs="Arial"/>
          <w:b/>
          <w:i/>
          <w:sz w:val="24"/>
          <w:szCs w:val="24"/>
        </w:rPr>
        <w:t xml:space="preserve"> para Trabajadores independientes</w:t>
      </w:r>
      <w:r>
        <w:rPr>
          <w:rFonts w:ascii="Arial" w:eastAsia="Arial" w:hAnsi="Arial" w:cs="Arial"/>
          <w:sz w:val="24"/>
          <w:szCs w:val="24"/>
        </w:rPr>
        <w:t xml:space="preserve">. El ingreso base de cotización (IBC) al Sistema de Seguridad Social Integral del trabajador independiente corresponde mínimo al cuarenta por ciento (40%) del valor mensualizado de cada contrato, sin incluir el valor total del Impuesto al Valor Agregado (IVA) cuando a ello haya lugar. </w:t>
      </w:r>
    </w:p>
    <w:p w:rsidR="00A82D64" w:rsidRDefault="007E62C7">
      <w:pPr>
        <w:jc w:val="both"/>
        <w:rPr>
          <w:rFonts w:ascii="Arial" w:eastAsia="Arial" w:hAnsi="Arial" w:cs="Arial"/>
          <w:sz w:val="24"/>
          <w:szCs w:val="24"/>
        </w:rPr>
      </w:pPr>
      <w:r>
        <w:rPr>
          <w:rFonts w:ascii="Arial" w:eastAsia="Arial" w:hAnsi="Arial" w:cs="Arial"/>
          <w:sz w:val="24"/>
          <w:szCs w:val="24"/>
        </w:rPr>
        <w:lastRenderedPageBreak/>
        <w:t>Los trabajadores independientes que al aplicar el 40% obtengan un ingreso base de cotización inferior a un Salario Mínimo Legal Mensual Vigente, cotizarán, sobre la base resultante, al Sistema de Seguridad Social en Salud y en Pensiones.</w:t>
      </w:r>
    </w:p>
    <w:p w:rsidR="00A82D64" w:rsidRDefault="007E62C7">
      <w:pPr>
        <w:jc w:val="both"/>
        <w:rPr>
          <w:rFonts w:ascii="Arial" w:eastAsia="Arial" w:hAnsi="Arial" w:cs="Arial"/>
          <w:b/>
          <w:color w:val="000000"/>
          <w:sz w:val="24"/>
          <w:szCs w:val="24"/>
        </w:rPr>
      </w:pPr>
      <w:r>
        <w:rPr>
          <w:rFonts w:ascii="Arial" w:eastAsia="Arial" w:hAnsi="Arial" w:cs="Arial"/>
          <w:sz w:val="24"/>
          <w:szCs w:val="24"/>
        </w:rPr>
        <w:t>Para los trabajadores independientes que estén obligados al pago de aportes al Sistema de Riesgos Laborales, el ingreso base de cotización será el salario mínimo legal mensual vigente.</w:t>
      </w:r>
    </w:p>
    <w:p w:rsidR="00A82D64" w:rsidRDefault="007E62C7">
      <w:pPr>
        <w:pBdr>
          <w:top w:val="nil"/>
          <w:left w:val="nil"/>
          <w:bottom w:val="nil"/>
          <w:right w:val="nil"/>
          <w:between w:val="nil"/>
        </w:pBdr>
        <w:spacing w:after="20"/>
        <w:ind w:right="40"/>
        <w:jc w:val="both"/>
        <w:rPr>
          <w:rFonts w:ascii="Arial" w:eastAsia="Arial" w:hAnsi="Arial" w:cs="Arial"/>
          <w:sz w:val="24"/>
          <w:szCs w:val="24"/>
        </w:rPr>
      </w:pPr>
      <w:r>
        <w:rPr>
          <w:rFonts w:ascii="Arial" w:eastAsia="Arial" w:hAnsi="Arial" w:cs="Arial"/>
          <w:b/>
          <w:sz w:val="24"/>
          <w:szCs w:val="24"/>
        </w:rPr>
        <w:t xml:space="preserve">Artículo 5. </w:t>
      </w:r>
      <w:r>
        <w:rPr>
          <w:rFonts w:ascii="Arial" w:eastAsia="Arial" w:hAnsi="Arial" w:cs="Arial"/>
          <w:sz w:val="24"/>
          <w:szCs w:val="24"/>
        </w:rPr>
        <w:t xml:space="preserve"> </w:t>
      </w:r>
      <w:r>
        <w:rPr>
          <w:rFonts w:ascii="Arial" w:eastAsia="Arial" w:hAnsi="Arial" w:cs="Arial"/>
          <w:b/>
          <w:i/>
          <w:sz w:val="24"/>
          <w:szCs w:val="24"/>
        </w:rPr>
        <w:t>Cajas De Compensación Familiar.</w:t>
      </w:r>
      <w:r>
        <w:rPr>
          <w:rFonts w:ascii="Arial" w:eastAsia="Arial" w:hAnsi="Arial" w:cs="Arial"/>
          <w:sz w:val="24"/>
          <w:szCs w:val="24"/>
        </w:rPr>
        <w:t xml:space="preserve"> El contratante estará obligado a afiliar  al contratista desde el inicio del contrato a un plan de Caja de Compensación Familiar que ofrezca como mínimo acceso a beneficios en educación, capacitación, turismo, subsidios, y acceso a espacios de recreación, deporte y turismo. Este plan deberá tener una cobertura familiar en las mismas condiciones que se ofrecen para los planes ordinarios. El pago estará a cargo de la entidad contratante. </w:t>
      </w:r>
    </w:p>
    <w:p w:rsidR="00A82D64" w:rsidRDefault="00A82D64">
      <w:pPr>
        <w:pBdr>
          <w:top w:val="nil"/>
          <w:left w:val="nil"/>
          <w:bottom w:val="nil"/>
          <w:right w:val="nil"/>
          <w:between w:val="nil"/>
        </w:pBdr>
        <w:spacing w:after="20"/>
        <w:ind w:right="40"/>
        <w:jc w:val="both"/>
        <w:rPr>
          <w:rFonts w:ascii="Arial" w:eastAsia="Arial" w:hAnsi="Arial" w:cs="Arial"/>
          <w:sz w:val="24"/>
          <w:szCs w:val="24"/>
        </w:rPr>
      </w:pPr>
    </w:p>
    <w:p w:rsidR="00A82D64" w:rsidRDefault="007E62C7">
      <w:pPr>
        <w:jc w:val="both"/>
        <w:rPr>
          <w:rFonts w:ascii="Arial" w:eastAsia="Arial" w:hAnsi="Arial" w:cs="Arial"/>
          <w:sz w:val="24"/>
          <w:szCs w:val="24"/>
        </w:rPr>
      </w:pPr>
      <w:r>
        <w:rPr>
          <w:rFonts w:ascii="Arial" w:eastAsia="Arial" w:hAnsi="Arial" w:cs="Arial"/>
          <w:b/>
          <w:sz w:val="24"/>
          <w:szCs w:val="24"/>
        </w:rPr>
        <w:t xml:space="preserve">Artículo 6. </w:t>
      </w:r>
      <w:r>
        <w:rPr>
          <w:rFonts w:ascii="Arial" w:eastAsia="Arial" w:hAnsi="Arial" w:cs="Arial"/>
          <w:b/>
          <w:i/>
          <w:sz w:val="24"/>
          <w:szCs w:val="24"/>
        </w:rPr>
        <w:t>Término oportuno para el pago de la cuenta de cobro</w:t>
      </w:r>
      <w:r>
        <w:rPr>
          <w:rFonts w:ascii="Arial" w:eastAsia="Arial" w:hAnsi="Arial" w:cs="Arial"/>
          <w:b/>
          <w:sz w:val="24"/>
          <w:szCs w:val="24"/>
        </w:rPr>
        <w:t xml:space="preserve">.  </w:t>
      </w:r>
      <w:r>
        <w:rPr>
          <w:rFonts w:ascii="Arial" w:eastAsia="Arial" w:hAnsi="Arial" w:cs="Arial"/>
          <w:sz w:val="24"/>
          <w:szCs w:val="24"/>
        </w:rPr>
        <w:t>El contratante tendrá máximo cinco (05) días hábiles para pagar la cuenta de cobro presentada por el contratista</w:t>
      </w:r>
      <w:r w:rsidR="007951E7">
        <w:rPr>
          <w:rFonts w:ascii="Arial" w:eastAsia="Arial" w:hAnsi="Arial" w:cs="Arial"/>
          <w:sz w:val="24"/>
          <w:szCs w:val="24"/>
        </w:rPr>
        <w:t xml:space="preserve"> o su equivalente</w:t>
      </w:r>
      <w:r>
        <w:rPr>
          <w:rFonts w:ascii="Arial" w:eastAsia="Arial" w:hAnsi="Arial" w:cs="Arial"/>
          <w:sz w:val="24"/>
          <w:szCs w:val="24"/>
        </w:rPr>
        <w:t xml:space="preserve">, a menos que </w:t>
      </w:r>
      <w:r w:rsidR="007951E7">
        <w:rPr>
          <w:rFonts w:ascii="Arial" w:eastAsia="Arial" w:hAnsi="Arial" w:cs="Arial"/>
          <w:sz w:val="24"/>
          <w:szCs w:val="24"/>
        </w:rPr>
        <w:t xml:space="preserve">esta </w:t>
      </w:r>
      <w:r>
        <w:rPr>
          <w:rFonts w:ascii="Arial" w:eastAsia="Arial" w:hAnsi="Arial" w:cs="Arial"/>
          <w:sz w:val="24"/>
          <w:szCs w:val="24"/>
        </w:rPr>
        <w:t>sea devuelta por</w:t>
      </w:r>
      <w:r w:rsidR="00A57FCF">
        <w:rPr>
          <w:rFonts w:ascii="Arial" w:eastAsia="Arial" w:hAnsi="Arial" w:cs="Arial"/>
          <w:sz w:val="24"/>
          <w:szCs w:val="24"/>
        </w:rPr>
        <w:t xml:space="preserve"> presentar alguna inconsistencia, carecer de soportes, o por encontrarse </w:t>
      </w:r>
      <w:r w:rsidR="00A57FCF" w:rsidRPr="00A57FCF">
        <w:rPr>
          <w:rFonts w:ascii="Arial" w:eastAsia="Arial" w:hAnsi="Arial" w:cs="Arial"/>
          <w:sz w:val="24"/>
          <w:szCs w:val="24"/>
        </w:rPr>
        <w:t xml:space="preserve">  pendiente del cumplimiento de</w:t>
      </w:r>
      <w:r w:rsidR="00A57FCF">
        <w:rPr>
          <w:rFonts w:ascii="Arial" w:eastAsia="Arial" w:hAnsi="Arial" w:cs="Arial"/>
          <w:sz w:val="24"/>
          <w:szCs w:val="24"/>
        </w:rPr>
        <w:t xml:space="preserve"> los</w:t>
      </w:r>
      <w:r w:rsidR="00A57FCF" w:rsidRPr="00A57FCF">
        <w:rPr>
          <w:rFonts w:ascii="Arial" w:eastAsia="Arial" w:hAnsi="Arial" w:cs="Arial"/>
          <w:sz w:val="24"/>
          <w:szCs w:val="24"/>
        </w:rPr>
        <w:t xml:space="preserve"> requisitos previstos en el contrato del cual se derivan</w:t>
      </w:r>
      <w:r>
        <w:rPr>
          <w:rFonts w:ascii="Arial" w:eastAsia="Arial" w:hAnsi="Arial" w:cs="Arial"/>
          <w:sz w:val="24"/>
          <w:szCs w:val="24"/>
        </w:rPr>
        <w:t xml:space="preserve">, caso en el cual, el término para el pago se suspenderá hasta la presentación de la cuenta de cobro corregida </w:t>
      </w:r>
      <w:r w:rsidR="00A57FCF">
        <w:rPr>
          <w:rFonts w:ascii="Arial" w:eastAsia="Arial" w:hAnsi="Arial" w:cs="Arial"/>
          <w:sz w:val="24"/>
          <w:szCs w:val="24"/>
        </w:rPr>
        <w:t xml:space="preserve">o subsanada </w:t>
      </w:r>
      <w:r>
        <w:rPr>
          <w:rFonts w:ascii="Arial" w:eastAsia="Arial" w:hAnsi="Arial" w:cs="Arial"/>
          <w:sz w:val="24"/>
          <w:szCs w:val="24"/>
        </w:rPr>
        <w:t>por el contratista</w:t>
      </w:r>
      <w:r w:rsidRPr="00A57FCF">
        <w:rPr>
          <w:rFonts w:ascii="Arial" w:eastAsia="Arial" w:hAnsi="Arial" w:cs="Arial"/>
          <w:sz w:val="24"/>
          <w:szCs w:val="24"/>
        </w:rPr>
        <w:t>.</w:t>
      </w:r>
      <w:r>
        <w:rPr>
          <w:rFonts w:ascii="Arial" w:eastAsia="Arial" w:hAnsi="Arial" w:cs="Arial"/>
          <w:color w:val="FF0000"/>
          <w:sz w:val="24"/>
          <w:szCs w:val="24"/>
        </w:rPr>
        <w:t xml:space="preserve"> </w:t>
      </w:r>
      <w:r>
        <w:rPr>
          <w:rFonts w:ascii="Arial" w:eastAsia="Arial" w:hAnsi="Arial" w:cs="Arial"/>
          <w:sz w:val="24"/>
          <w:szCs w:val="24"/>
        </w:rPr>
        <w:t xml:space="preserve"> </w:t>
      </w:r>
    </w:p>
    <w:p w:rsidR="00A82D64" w:rsidRDefault="007E62C7">
      <w:pPr>
        <w:jc w:val="both"/>
        <w:rPr>
          <w:rFonts w:ascii="Arial" w:eastAsia="Arial" w:hAnsi="Arial" w:cs="Arial"/>
          <w:sz w:val="24"/>
          <w:szCs w:val="24"/>
        </w:rPr>
      </w:pPr>
      <w:r>
        <w:rPr>
          <w:rFonts w:ascii="Arial" w:eastAsia="Arial" w:hAnsi="Arial" w:cs="Arial"/>
          <w:sz w:val="24"/>
          <w:szCs w:val="24"/>
        </w:rPr>
        <w:t xml:space="preserve">El contratante, supervisor y/u oficina encargada del pago, según corresponda deberá informar por escrito al contratista las inconsistencias </w:t>
      </w:r>
      <w:r w:rsidR="00A57FCF">
        <w:rPr>
          <w:rFonts w:ascii="Arial" w:eastAsia="Arial" w:hAnsi="Arial" w:cs="Arial"/>
          <w:sz w:val="24"/>
          <w:szCs w:val="24"/>
        </w:rPr>
        <w:t xml:space="preserve">o causales </w:t>
      </w:r>
      <w:r>
        <w:rPr>
          <w:rFonts w:ascii="Arial" w:eastAsia="Arial" w:hAnsi="Arial" w:cs="Arial"/>
          <w:sz w:val="24"/>
          <w:szCs w:val="24"/>
        </w:rPr>
        <w:t>por las que se hace la devolución.</w:t>
      </w:r>
    </w:p>
    <w:p w:rsidR="00A82D64" w:rsidRDefault="007E62C7">
      <w:pPr>
        <w:jc w:val="both"/>
        <w:rPr>
          <w:rFonts w:ascii="Arial" w:eastAsia="Arial" w:hAnsi="Arial" w:cs="Arial"/>
          <w:sz w:val="24"/>
          <w:szCs w:val="24"/>
        </w:rPr>
      </w:pPr>
      <w:r>
        <w:rPr>
          <w:rFonts w:ascii="Arial" w:eastAsia="Arial" w:hAnsi="Arial" w:cs="Arial"/>
          <w:b/>
          <w:sz w:val="24"/>
          <w:szCs w:val="24"/>
        </w:rPr>
        <w:t>Artículo 7.</w:t>
      </w:r>
      <w:r>
        <w:rPr>
          <w:rFonts w:ascii="Arial" w:eastAsia="Arial" w:hAnsi="Arial" w:cs="Arial"/>
          <w:sz w:val="24"/>
          <w:szCs w:val="24"/>
        </w:rPr>
        <w:t xml:space="preserve"> </w:t>
      </w:r>
      <w:r w:rsidRPr="0028273D">
        <w:rPr>
          <w:rFonts w:ascii="Arial" w:eastAsia="Arial" w:hAnsi="Arial" w:cs="Arial"/>
          <w:b/>
          <w:i/>
          <w:sz w:val="24"/>
          <w:szCs w:val="24"/>
        </w:rPr>
        <w:t>Digitalización de las cuentas de cobro</w:t>
      </w:r>
      <w:r>
        <w:rPr>
          <w:rFonts w:ascii="Arial" w:eastAsia="Arial" w:hAnsi="Arial" w:cs="Arial"/>
          <w:b/>
          <w:sz w:val="24"/>
          <w:szCs w:val="24"/>
        </w:rPr>
        <w:t>.</w:t>
      </w:r>
      <w:r>
        <w:rPr>
          <w:rFonts w:ascii="Arial" w:eastAsia="Arial" w:hAnsi="Arial" w:cs="Arial"/>
          <w:sz w:val="24"/>
          <w:szCs w:val="24"/>
        </w:rPr>
        <w:t xml:space="preserve"> Las personas jurídicas de derecho público contratantes, deberán implementar el registro digital de las cuentas de cobro a través de plataformas institucionales y/o empresariales en las cuales conste la fecha y hora de radicación de las cuentas de cobro de los contratistas ante sus respectivos supervisores para la revisión de las mismas, permitiendo en todo caso hacer seguimiento a la trazabilidad del trámite que debe surtir cada una de las cuentas de cobro hasta concluir con el correspondiente pago. </w:t>
      </w:r>
    </w:p>
    <w:p w:rsidR="00A82D64" w:rsidRDefault="007E62C7">
      <w:pPr>
        <w:jc w:val="both"/>
        <w:rPr>
          <w:rFonts w:ascii="Arial" w:eastAsia="Arial" w:hAnsi="Arial" w:cs="Arial"/>
          <w:sz w:val="24"/>
          <w:szCs w:val="24"/>
        </w:rPr>
      </w:pPr>
      <w:r>
        <w:rPr>
          <w:rFonts w:ascii="Arial" w:eastAsia="Arial" w:hAnsi="Arial" w:cs="Arial"/>
          <w:sz w:val="24"/>
          <w:szCs w:val="24"/>
        </w:rPr>
        <w:t>La devolución de la cuenta de cobro por inconsistencia o error también deberá constar de forma digital así como su adecuación o subsanación por parte del contratista.</w:t>
      </w:r>
    </w:p>
    <w:p w:rsidR="00A82D64" w:rsidRDefault="007E62C7">
      <w:pPr>
        <w:jc w:val="both"/>
        <w:rPr>
          <w:rFonts w:ascii="Arial" w:eastAsia="Arial" w:hAnsi="Arial" w:cs="Arial"/>
          <w:sz w:val="24"/>
          <w:szCs w:val="24"/>
        </w:rPr>
      </w:pPr>
      <w:r w:rsidRPr="007951E7">
        <w:rPr>
          <w:rFonts w:ascii="Arial" w:eastAsia="Arial" w:hAnsi="Arial" w:cs="Arial"/>
          <w:b/>
          <w:sz w:val="24"/>
          <w:szCs w:val="24"/>
        </w:rPr>
        <w:lastRenderedPageBreak/>
        <w:t>Parágrafo 1:</w:t>
      </w:r>
      <w:r>
        <w:rPr>
          <w:rFonts w:ascii="Arial" w:eastAsia="Arial" w:hAnsi="Arial" w:cs="Arial"/>
          <w:sz w:val="24"/>
          <w:szCs w:val="24"/>
        </w:rPr>
        <w:t xml:space="preserve"> El término para el trámite y pago de la cuenta de cobro se suspenderá en caso de devolución y se reanudará con la presentación de la radicación de las correcciones por parte del contratista a su supervisor y/u oficina encargada del pago, según corresponda.</w:t>
      </w:r>
    </w:p>
    <w:p w:rsidR="00A82D64" w:rsidRDefault="007E62C7">
      <w:pPr>
        <w:jc w:val="both"/>
        <w:rPr>
          <w:rFonts w:ascii="Arial" w:eastAsia="Arial" w:hAnsi="Arial" w:cs="Arial"/>
          <w:sz w:val="24"/>
          <w:szCs w:val="24"/>
        </w:rPr>
      </w:pPr>
      <w:r>
        <w:rPr>
          <w:rFonts w:ascii="Arial" w:eastAsia="Arial" w:hAnsi="Arial" w:cs="Arial"/>
          <w:b/>
          <w:sz w:val="24"/>
          <w:szCs w:val="24"/>
        </w:rPr>
        <w:t xml:space="preserve">Artículo </w:t>
      </w:r>
      <w:r>
        <w:rPr>
          <w:rFonts w:ascii="Arial" w:eastAsia="Arial" w:hAnsi="Arial" w:cs="Arial"/>
          <w:b/>
          <w:i/>
          <w:sz w:val="24"/>
          <w:szCs w:val="24"/>
        </w:rPr>
        <w:t>8. Sanción.</w:t>
      </w:r>
      <w:r>
        <w:rPr>
          <w:rFonts w:ascii="Arial" w:eastAsia="Arial" w:hAnsi="Arial" w:cs="Arial"/>
          <w:sz w:val="24"/>
          <w:szCs w:val="24"/>
        </w:rPr>
        <w:t xml:space="preserve"> El contratante que no cumpliere con lo dispuesto en esta ley, tendrá que pagar al contratista una sanción económica equivalente al 10% del total del contrato de prestación de servicios.</w:t>
      </w:r>
    </w:p>
    <w:p w:rsidR="00A82D64" w:rsidRDefault="007E62C7">
      <w:pPr>
        <w:jc w:val="both"/>
        <w:rPr>
          <w:rFonts w:ascii="Arial" w:eastAsia="Arial" w:hAnsi="Arial" w:cs="Arial"/>
          <w:sz w:val="24"/>
          <w:szCs w:val="24"/>
        </w:rPr>
      </w:pPr>
      <w:r>
        <w:rPr>
          <w:rFonts w:ascii="Arial" w:eastAsia="Arial" w:hAnsi="Arial" w:cs="Arial"/>
          <w:b/>
          <w:sz w:val="24"/>
          <w:szCs w:val="24"/>
        </w:rPr>
        <w:t xml:space="preserve">Artículo 9. </w:t>
      </w:r>
      <w:r w:rsidRPr="0028273D">
        <w:rPr>
          <w:rFonts w:ascii="Arial" w:eastAsia="Arial" w:hAnsi="Arial" w:cs="Arial"/>
          <w:b/>
          <w:i/>
          <w:sz w:val="24"/>
          <w:szCs w:val="24"/>
        </w:rPr>
        <w:t>Vigencia y derogatorias</w:t>
      </w:r>
      <w:r>
        <w:rPr>
          <w:rFonts w:ascii="Arial" w:eastAsia="Arial" w:hAnsi="Arial" w:cs="Arial"/>
          <w:b/>
          <w:sz w:val="24"/>
          <w:szCs w:val="24"/>
        </w:rPr>
        <w:t xml:space="preserve">. </w:t>
      </w:r>
      <w:r>
        <w:rPr>
          <w:rFonts w:ascii="Arial" w:eastAsia="Arial" w:hAnsi="Arial" w:cs="Arial"/>
          <w:sz w:val="24"/>
          <w:szCs w:val="24"/>
        </w:rPr>
        <w:t>La presente ley rige a partir de su sanción y publicación y deroga las disposiciones que le sean contrarias.</w:t>
      </w:r>
    </w:p>
    <w:p w:rsidR="001A564E" w:rsidRDefault="001A564E">
      <w:pPr>
        <w:jc w:val="both"/>
        <w:rPr>
          <w:rFonts w:ascii="Arial" w:eastAsia="Arial" w:hAnsi="Arial" w:cs="Arial"/>
          <w:sz w:val="24"/>
          <w:szCs w:val="24"/>
        </w:rPr>
      </w:pPr>
    </w:p>
    <w:p w:rsidR="001A564E" w:rsidRDefault="001A564E" w:rsidP="001A564E">
      <w:pPr>
        <w:jc w:val="both"/>
        <w:rPr>
          <w:rFonts w:ascii="Arial" w:eastAsia="Arial" w:hAnsi="Arial" w:cs="Arial"/>
          <w:sz w:val="24"/>
          <w:szCs w:val="24"/>
        </w:rPr>
      </w:pPr>
      <w:r>
        <w:rPr>
          <w:rFonts w:ascii="Arial" w:eastAsia="Arial" w:hAnsi="Arial" w:cs="Arial"/>
          <w:sz w:val="24"/>
          <w:szCs w:val="24"/>
        </w:rPr>
        <w:t>De los Honorables Congresistas,</w:t>
      </w:r>
    </w:p>
    <w:p w:rsidR="00A82D64" w:rsidRDefault="00A82D64">
      <w:pPr>
        <w:spacing w:after="0"/>
        <w:jc w:val="center"/>
        <w:rPr>
          <w:rFonts w:ascii="Arial" w:eastAsia="Arial" w:hAnsi="Arial" w:cs="Arial"/>
          <w:b/>
          <w:sz w:val="24"/>
          <w:szCs w:val="24"/>
        </w:rPr>
      </w:pPr>
    </w:p>
    <w:p w:rsidR="00A82D64" w:rsidRDefault="00A82D64">
      <w:pPr>
        <w:spacing w:after="0"/>
        <w:jc w:val="center"/>
        <w:rPr>
          <w:rFonts w:ascii="Arial" w:eastAsia="Arial" w:hAnsi="Arial" w:cs="Arial"/>
          <w:b/>
          <w:sz w:val="24"/>
          <w:szCs w:val="24"/>
        </w:rPr>
      </w:pPr>
    </w:p>
    <w:p w:rsidR="001A564E" w:rsidRDefault="001A564E" w:rsidP="001A564E">
      <w:pPr>
        <w:spacing w:after="240" w:line="240" w:lineRule="auto"/>
        <w:rPr>
          <w:rFonts w:ascii="Arial" w:eastAsia="Arial" w:hAnsi="Arial" w:cs="Arial"/>
          <w:sz w:val="24"/>
          <w:szCs w:val="24"/>
        </w:rPr>
      </w:pPr>
    </w:p>
    <w:p w:rsidR="001A564E" w:rsidRDefault="001A564E" w:rsidP="001A564E">
      <w:pPr>
        <w:spacing w:after="240" w:line="240" w:lineRule="auto"/>
        <w:rPr>
          <w:rFonts w:ascii="Arial" w:eastAsia="Arial" w:hAnsi="Arial" w:cs="Arial"/>
          <w:sz w:val="24"/>
          <w:szCs w:val="24"/>
        </w:rPr>
      </w:pPr>
    </w:p>
    <w:p w:rsidR="001A564E" w:rsidRPr="00C460BE" w:rsidRDefault="001A564E" w:rsidP="001A564E">
      <w:pPr>
        <w:spacing w:after="0" w:line="240" w:lineRule="auto"/>
        <w:jc w:val="both"/>
        <w:rPr>
          <w:rFonts w:ascii="Arial" w:eastAsia="Arial" w:hAnsi="Arial" w:cs="Arial"/>
          <w:b/>
          <w:sz w:val="24"/>
          <w:szCs w:val="24"/>
        </w:rPr>
      </w:pPr>
      <w:r w:rsidRPr="00C460BE">
        <w:rPr>
          <w:rFonts w:ascii="Arial" w:eastAsia="Arial" w:hAnsi="Arial" w:cs="Arial"/>
          <w:b/>
          <w:sz w:val="24"/>
          <w:szCs w:val="24"/>
        </w:rPr>
        <w:t>CARLOS</w:t>
      </w:r>
      <w:r>
        <w:rPr>
          <w:rFonts w:ascii="Arial" w:eastAsia="Arial" w:hAnsi="Arial" w:cs="Arial"/>
          <w:b/>
          <w:sz w:val="24"/>
          <w:szCs w:val="24"/>
        </w:rPr>
        <w:t xml:space="preserve"> EDUARDO </w:t>
      </w:r>
      <w:r w:rsidRPr="00C460BE">
        <w:rPr>
          <w:rFonts w:ascii="Arial" w:eastAsia="Arial" w:hAnsi="Arial" w:cs="Arial"/>
          <w:b/>
          <w:sz w:val="24"/>
          <w:szCs w:val="24"/>
        </w:rPr>
        <w:t>GUEVARA V</w:t>
      </w:r>
      <w:r>
        <w:rPr>
          <w:rFonts w:ascii="Arial" w:eastAsia="Arial" w:hAnsi="Arial" w:cs="Arial"/>
          <w:b/>
          <w:sz w:val="24"/>
          <w:szCs w:val="24"/>
        </w:rPr>
        <w:t>.</w:t>
      </w:r>
      <w:r w:rsidRPr="00C460BE">
        <w:rPr>
          <w:rFonts w:ascii="Arial" w:eastAsia="Arial" w:hAnsi="Arial" w:cs="Arial"/>
          <w:b/>
          <w:sz w:val="24"/>
          <w:szCs w:val="24"/>
        </w:rPr>
        <w:t xml:space="preserve">            </w:t>
      </w:r>
      <w:r>
        <w:rPr>
          <w:rFonts w:ascii="Arial" w:eastAsia="Arial" w:hAnsi="Arial" w:cs="Arial"/>
          <w:b/>
          <w:sz w:val="24"/>
          <w:szCs w:val="24"/>
        </w:rPr>
        <w:tab/>
      </w:r>
      <w:r w:rsidRPr="00C460BE">
        <w:rPr>
          <w:rFonts w:ascii="Arial" w:eastAsia="Arial" w:hAnsi="Arial" w:cs="Arial"/>
          <w:b/>
          <w:sz w:val="24"/>
          <w:szCs w:val="24"/>
        </w:rPr>
        <w:t>AYDEÉ LIZARAZO CUBILLOS</w:t>
      </w:r>
    </w:p>
    <w:p w:rsidR="001A564E" w:rsidRPr="00C460BE" w:rsidRDefault="001A564E" w:rsidP="001A564E">
      <w:pPr>
        <w:spacing w:after="0" w:line="240" w:lineRule="auto"/>
        <w:jc w:val="both"/>
        <w:rPr>
          <w:rFonts w:ascii="Arial" w:eastAsia="Arial" w:hAnsi="Arial" w:cs="Arial"/>
          <w:sz w:val="24"/>
          <w:szCs w:val="24"/>
        </w:rPr>
      </w:pPr>
      <w:r w:rsidRPr="00C460BE">
        <w:rPr>
          <w:rFonts w:ascii="Arial" w:eastAsia="Arial" w:hAnsi="Arial" w:cs="Arial"/>
          <w:sz w:val="24"/>
          <w:szCs w:val="24"/>
        </w:rPr>
        <w:t>Senador de la República                         </w:t>
      </w:r>
      <w:r>
        <w:rPr>
          <w:rFonts w:ascii="Arial" w:eastAsia="Arial" w:hAnsi="Arial" w:cs="Arial"/>
          <w:sz w:val="24"/>
          <w:szCs w:val="24"/>
        </w:rPr>
        <w:tab/>
      </w:r>
      <w:r>
        <w:rPr>
          <w:rFonts w:ascii="Arial" w:eastAsia="Arial" w:hAnsi="Arial" w:cs="Arial"/>
          <w:sz w:val="24"/>
          <w:szCs w:val="24"/>
        </w:rPr>
        <w:tab/>
      </w:r>
      <w:r w:rsidRPr="00C460BE">
        <w:rPr>
          <w:rFonts w:ascii="Arial" w:eastAsia="Arial" w:hAnsi="Arial" w:cs="Arial"/>
          <w:sz w:val="24"/>
          <w:szCs w:val="24"/>
        </w:rPr>
        <w:t>Senadora de la República        </w:t>
      </w:r>
    </w:p>
    <w:p w:rsidR="001A564E" w:rsidRPr="00C460BE" w:rsidRDefault="001A564E" w:rsidP="001A564E">
      <w:pPr>
        <w:spacing w:after="0" w:line="240" w:lineRule="auto"/>
        <w:jc w:val="both"/>
        <w:rPr>
          <w:rFonts w:ascii="Arial" w:eastAsia="Arial" w:hAnsi="Arial" w:cs="Arial"/>
          <w:sz w:val="24"/>
          <w:szCs w:val="24"/>
        </w:rPr>
      </w:pPr>
      <w:r w:rsidRPr="00C460BE">
        <w:rPr>
          <w:rFonts w:ascii="Arial" w:eastAsia="Arial" w:hAnsi="Arial" w:cs="Arial"/>
          <w:sz w:val="24"/>
          <w:szCs w:val="24"/>
        </w:rPr>
        <w:t xml:space="preserve">Partido Político MIRA                               </w:t>
      </w:r>
      <w:r>
        <w:rPr>
          <w:rFonts w:ascii="Arial" w:eastAsia="Arial" w:hAnsi="Arial" w:cs="Arial"/>
          <w:sz w:val="24"/>
          <w:szCs w:val="24"/>
        </w:rPr>
        <w:tab/>
      </w:r>
      <w:r w:rsidRPr="00C460BE">
        <w:rPr>
          <w:rFonts w:ascii="Arial" w:eastAsia="Arial" w:hAnsi="Arial" w:cs="Arial"/>
          <w:sz w:val="24"/>
          <w:szCs w:val="24"/>
        </w:rPr>
        <w:t>Partido Político MIRA</w:t>
      </w:r>
    </w:p>
    <w:p w:rsidR="001A564E" w:rsidRDefault="001A564E" w:rsidP="001A564E">
      <w:pPr>
        <w:spacing w:line="240" w:lineRule="auto"/>
        <w:jc w:val="both"/>
        <w:rPr>
          <w:rFonts w:ascii="Arial" w:eastAsia="Arial" w:hAnsi="Arial" w:cs="Arial"/>
          <w:sz w:val="24"/>
          <w:szCs w:val="24"/>
        </w:rPr>
      </w:pPr>
    </w:p>
    <w:p w:rsidR="001A564E" w:rsidRDefault="001A564E" w:rsidP="001A564E">
      <w:pPr>
        <w:spacing w:line="240" w:lineRule="auto"/>
        <w:jc w:val="both"/>
        <w:rPr>
          <w:rFonts w:ascii="Arial" w:eastAsia="Arial" w:hAnsi="Arial" w:cs="Arial"/>
          <w:sz w:val="24"/>
          <w:szCs w:val="24"/>
        </w:rPr>
      </w:pPr>
      <w:r w:rsidRPr="00C460BE">
        <w:rPr>
          <w:rFonts w:ascii="Arial" w:eastAsia="Arial" w:hAnsi="Arial" w:cs="Arial"/>
          <w:sz w:val="24"/>
          <w:szCs w:val="24"/>
        </w:rPr>
        <w:t>     </w:t>
      </w:r>
    </w:p>
    <w:p w:rsidR="001A564E" w:rsidRPr="00C460BE" w:rsidRDefault="001A564E" w:rsidP="001A564E">
      <w:pPr>
        <w:spacing w:line="240" w:lineRule="auto"/>
        <w:jc w:val="both"/>
        <w:rPr>
          <w:rFonts w:ascii="Arial" w:eastAsia="Arial" w:hAnsi="Arial" w:cs="Arial"/>
          <w:sz w:val="24"/>
          <w:szCs w:val="24"/>
        </w:rPr>
      </w:pPr>
    </w:p>
    <w:p w:rsidR="001A564E" w:rsidRPr="00C460BE" w:rsidRDefault="001A564E" w:rsidP="001A564E">
      <w:pPr>
        <w:spacing w:after="0" w:line="240" w:lineRule="auto"/>
        <w:rPr>
          <w:rFonts w:ascii="Arial" w:eastAsia="Arial" w:hAnsi="Arial" w:cs="Arial"/>
          <w:sz w:val="24"/>
          <w:szCs w:val="24"/>
        </w:rPr>
      </w:pPr>
    </w:p>
    <w:p w:rsidR="001A564E" w:rsidRPr="00C460BE" w:rsidRDefault="001A564E" w:rsidP="001A564E">
      <w:pPr>
        <w:spacing w:after="0" w:line="240" w:lineRule="auto"/>
        <w:jc w:val="both"/>
        <w:rPr>
          <w:rFonts w:ascii="Arial" w:eastAsia="Arial" w:hAnsi="Arial" w:cs="Arial"/>
          <w:b/>
          <w:sz w:val="24"/>
          <w:szCs w:val="24"/>
        </w:rPr>
      </w:pPr>
      <w:r w:rsidRPr="00C460BE">
        <w:rPr>
          <w:rFonts w:ascii="Arial" w:eastAsia="Arial" w:hAnsi="Arial" w:cs="Arial"/>
          <w:b/>
          <w:sz w:val="24"/>
          <w:szCs w:val="24"/>
        </w:rPr>
        <w:t xml:space="preserve">ANA PAOLA AGUDELO </w:t>
      </w:r>
      <w:r>
        <w:rPr>
          <w:rFonts w:ascii="Arial" w:eastAsia="Arial" w:hAnsi="Arial" w:cs="Arial"/>
          <w:b/>
          <w:sz w:val="24"/>
          <w:szCs w:val="24"/>
        </w:rPr>
        <w:t>GARCIA</w:t>
      </w:r>
      <w:r w:rsidRPr="00C460BE">
        <w:rPr>
          <w:rFonts w:ascii="Arial" w:eastAsia="Arial" w:hAnsi="Arial" w:cs="Arial"/>
          <w:b/>
          <w:sz w:val="24"/>
          <w:szCs w:val="24"/>
        </w:rPr>
        <w:t xml:space="preserve">                    </w:t>
      </w:r>
      <w:r>
        <w:rPr>
          <w:rFonts w:ascii="Arial" w:eastAsia="Arial" w:hAnsi="Arial" w:cs="Arial"/>
          <w:b/>
          <w:sz w:val="24"/>
          <w:szCs w:val="24"/>
        </w:rPr>
        <w:t>I</w:t>
      </w:r>
      <w:r w:rsidRPr="00C460BE">
        <w:rPr>
          <w:rFonts w:ascii="Arial" w:eastAsia="Arial" w:hAnsi="Arial" w:cs="Arial"/>
          <w:b/>
          <w:sz w:val="24"/>
          <w:szCs w:val="24"/>
        </w:rPr>
        <w:t>RMA LUZ HERRERA</w:t>
      </w:r>
      <w:r>
        <w:rPr>
          <w:rFonts w:ascii="Arial" w:eastAsia="Arial" w:hAnsi="Arial" w:cs="Arial"/>
          <w:b/>
          <w:sz w:val="24"/>
          <w:szCs w:val="24"/>
        </w:rPr>
        <w:t xml:space="preserve"> R. </w:t>
      </w:r>
    </w:p>
    <w:p w:rsidR="001A564E" w:rsidRPr="00C460BE" w:rsidRDefault="001A564E" w:rsidP="001A564E">
      <w:pPr>
        <w:spacing w:after="0" w:line="240" w:lineRule="auto"/>
        <w:jc w:val="both"/>
        <w:rPr>
          <w:rFonts w:ascii="Arial" w:eastAsia="Arial" w:hAnsi="Arial" w:cs="Arial"/>
          <w:sz w:val="24"/>
          <w:szCs w:val="24"/>
        </w:rPr>
      </w:pPr>
      <w:r w:rsidRPr="00C460BE">
        <w:rPr>
          <w:rFonts w:ascii="Arial" w:eastAsia="Arial" w:hAnsi="Arial" w:cs="Arial"/>
          <w:sz w:val="24"/>
          <w:szCs w:val="24"/>
        </w:rPr>
        <w:t xml:space="preserve">Senador de la República                          </w:t>
      </w:r>
      <w:r>
        <w:rPr>
          <w:rFonts w:ascii="Arial" w:eastAsia="Arial" w:hAnsi="Arial" w:cs="Arial"/>
          <w:sz w:val="24"/>
          <w:szCs w:val="24"/>
        </w:rPr>
        <w:tab/>
      </w:r>
      <w:r w:rsidRPr="00C460BE">
        <w:rPr>
          <w:rFonts w:ascii="Arial" w:eastAsia="Arial" w:hAnsi="Arial" w:cs="Arial"/>
          <w:sz w:val="24"/>
          <w:szCs w:val="24"/>
        </w:rPr>
        <w:t>Representante a la Cámara</w:t>
      </w:r>
    </w:p>
    <w:p w:rsidR="001A564E" w:rsidRPr="00C460BE" w:rsidRDefault="001A564E" w:rsidP="001A564E">
      <w:pPr>
        <w:spacing w:after="0" w:line="240" w:lineRule="auto"/>
        <w:jc w:val="both"/>
        <w:rPr>
          <w:rFonts w:ascii="Arial" w:eastAsia="Arial" w:hAnsi="Arial" w:cs="Arial"/>
          <w:sz w:val="24"/>
          <w:szCs w:val="24"/>
        </w:rPr>
      </w:pPr>
      <w:r w:rsidRPr="00C460BE">
        <w:rPr>
          <w:rFonts w:ascii="Arial" w:eastAsia="Arial" w:hAnsi="Arial" w:cs="Arial"/>
          <w:sz w:val="24"/>
          <w:szCs w:val="24"/>
        </w:rPr>
        <w:t xml:space="preserve">Partido Político MIRA                                </w:t>
      </w:r>
      <w:r>
        <w:rPr>
          <w:rFonts w:ascii="Arial" w:eastAsia="Arial" w:hAnsi="Arial" w:cs="Arial"/>
          <w:sz w:val="24"/>
          <w:szCs w:val="24"/>
        </w:rPr>
        <w:tab/>
      </w:r>
      <w:r w:rsidRPr="00C460BE">
        <w:rPr>
          <w:rFonts w:ascii="Arial" w:eastAsia="Arial" w:hAnsi="Arial" w:cs="Arial"/>
          <w:sz w:val="24"/>
          <w:szCs w:val="24"/>
        </w:rPr>
        <w:t>Partido Político MIRA</w:t>
      </w:r>
    </w:p>
    <w:p w:rsidR="00A82D64" w:rsidRDefault="00A82D64">
      <w:pPr>
        <w:spacing w:after="0"/>
        <w:rPr>
          <w:rFonts w:ascii="Arial" w:eastAsia="Arial" w:hAnsi="Arial" w:cs="Arial"/>
          <w:sz w:val="24"/>
          <w:szCs w:val="24"/>
        </w:rPr>
      </w:pPr>
    </w:p>
    <w:p w:rsidR="001A564E" w:rsidRDefault="001A564E">
      <w:pPr>
        <w:spacing w:after="0"/>
        <w:rPr>
          <w:rFonts w:ascii="Arial" w:eastAsia="Arial" w:hAnsi="Arial" w:cs="Arial"/>
          <w:sz w:val="24"/>
          <w:szCs w:val="24"/>
        </w:rPr>
      </w:pPr>
    </w:p>
    <w:p w:rsidR="00A82D64" w:rsidRDefault="00A82D64">
      <w:pPr>
        <w:spacing w:after="0"/>
        <w:rPr>
          <w:rFonts w:ascii="Arial" w:eastAsia="Arial" w:hAnsi="Arial" w:cs="Arial"/>
          <w:sz w:val="24"/>
          <w:szCs w:val="24"/>
        </w:rPr>
      </w:pPr>
    </w:p>
    <w:p w:rsidR="00A82D64" w:rsidRDefault="00A82D64">
      <w:pPr>
        <w:spacing w:after="0"/>
        <w:rPr>
          <w:rFonts w:ascii="Arial" w:eastAsia="Arial" w:hAnsi="Arial" w:cs="Arial"/>
          <w:b/>
          <w:sz w:val="24"/>
          <w:szCs w:val="24"/>
        </w:rPr>
      </w:pPr>
    </w:p>
    <w:p w:rsidR="00A82D64" w:rsidRDefault="00A82D64">
      <w:pPr>
        <w:spacing w:after="0"/>
        <w:jc w:val="center"/>
        <w:rPr>
          <w:rFonts w:ascii="Arial" w:eastAsia="Arial" w:hAnsi="Arial" w:cs="Arial"/>
          <w:b/>
          <w:sz w:val="24"/>
          <w:szCs w:val="24"/>
        </w:rPr>
      </w:pPr>
    </w:p>
    <w:p w:rsidR="00A82D64" w:rsidRDefault="00A82D64">
      <w:pPr>
        <w:spacing w:after="0"/>
        <w:jc w:val="center"/>
        <w:rPr>
          <w:rFonts w:ascii="Arial" w:eastAsia="Arial" w:hAnsi="Arial" w:cs="Arial"/>
          <w:b/>
          <w:sz w:val="24"/>
          <w:szCs w:val="24"/>
        </w:rPr>
      </w:pPr>
    </w:p>
    <w:p w:rsidR="00A82D64" w:rsidRDefault="00A82D64">
      <w:pPr>
        <w:spacing w:after="0"/>
        <w:jc w:val="center"/>
        <w:rPr>
          <w:rFonts w:ascii="Arial" w:eastAsia="Arial" w:hAnsi="Arial" w:cs="Arial"/>
          <w:b/>
          <w:sz w:val="24"/>
          <w:szCs w:val="24"/>
        </w:rPr>
      </w:pPr>
    </w:p>
    <w:p w:rsidR="00A82D64" w:rsidRDefault="00A82D64">
      <w:pPr>
        <w:spacing w:after="0"/>
        <w:jc w:val="center"/>
        <w:rPr>
          <w:rFonts w:ascii="Arial" w:eastAsia="Arial" w:hAnsi="Arial" w:cs="Arial"/>
          <w:b/>
          <w:sz w:val="24"/>
          <w:szCs w:val="24"/>
        </w:rPr>
      </w:pPr>
    </w:p>
    <w:p w:rsidR="00A82D64" w:rsidRDefault="00A82D64">
      <w:pPr>
        <w:spacing w:after="0"/>
        <w:jc w:val="center"/>
        <w:rPr>
          <w:rFonts w:ascii="Arial" w:eastAsia="Arial" w:hAnsi="Arial" w:cs="Arial"/>
          <w:b/>
          <w:sz w:val="24"/>
          <w:szCs w:val="24"/>
        </w:rPr>
      </w:pPr>
    </w:p>
    <w:p w:rsidR="00A82D64" w:rsidRDefault="00A82D64">
      <w:pPr>
        <w:spacing w:after="0"/>
        <w:jc w:val="center"/>
        <w:rPr>
          <w:rFonts w:ascii="Arial" w:eastAsia="Arial" w:hAnsi="Arial" w:cs="Arial"/>
          <w:b/>
          <w:sz w:val="24"/>
          <w:szCs w:val="24"/>
        </w:rPr>
      </w:pPr>
    </w:p>
    <w:p w:rsidR="00A82D64" w:rsidRDefault="007E62C7">
      <w:pPr>
        <w:spacing w:after="0"/>
        <w:jc w:val="center"/>
        <w:rPr>
          <w:rFonts w:ascii="Arial" w:eastAsia="Arial" w:hAnsi="Arial" w:cs="Arial"/>
          <w:b/>
          <w:color w:val="FF0000"/>
          <w:sz w:val="24"/>
          <w:szCs w:val="24"/>
        </w:rPr>
      </w:pPr>
      <w:r>
        <w:rPr>
          <w:rFonts w:ascii="Arial" w:eastAsia="Arial" w:hAnsi="Arial" w:cs="Arial"/>
          <w:b/>
          <w:sz w:val="24"/>
          <w:szCs w:val="24"/>
        </w:rPr>
        <w:t xml:space="preserve">PROYECTO DE  LEY No. __ </w:t>
      </w:r>
      <w:proofErr w:type="gramStart"/>
      <w:r w:rsidR="001A564E">
        <w:rPr>
          <w:rFonts w:ascii="Arial" w:eastAsia="Arial" w:hAnsi="Arial" w:cs="Arial"/>
          <w:b/>
          <w:sz w:val="24"/>
          <w:szCs w:val="24"/>
        </w:rPr>
        <w:t>d</w:t>
      </w:r>
      <w:r>
        <w:rPr>
          <w:rFonts w:ascii="Arial" w:eastAsia="Arial" w:hAnsi="Arial" w:cs="Arial"/>
          <w:b/>
          <w:sz w:val="24"/>
          <w:szCs w:val="24"/>
        </w:rPr>
        <w:t>e</w:t>
      </w:r>
      <w:proofErr w:type="gramEnd"/>
      <w:r>
        <w:rPr>
          <w:rFonts w:ascii="Arial" w:eastAsia="Arial" w:hAnsi="Arial" w:cs="Arial"/>
          <w:b/>
          <w:sz w:val="24"/>
          <w:szCs w:val="24"/>
        </w:rPr>
        <w:t xml:space="preserve"> 2019</w:t>
      </w:r>
      <w:r>
        <w:rPr>
          <w:rFonts w:ascii="Arial" w:eastAsia="Arial" w:hAnsi="Arial" w:cs="Arial"/>
          <w:b/>
          <w:color w:val="FF0000"/>
          <w:sz w:val="24"/>
          <w:szCs w:val="24"/>
        </w:rPr>
        <w:t xml:space="preserve"> </w:t>
      </w:r>
    </w:p>
    <w:p w:rsidR="00A82D64" w:rsidRDefault="007E62C7">
      <w:pPr>
        <w:spacing w:after="0"/>
        <w:jc w:val="center"/>
        <w:rPr>
          <w:rFonts w:ascii="Arial" w:eastAsia="Arial" w:hAnsi="Arial" w:cs="Arial"/>
          <w:b/>
          <w:sz w:val="24"/>
          <w:szCs w:val="24"/>
        </w:rPr>
      </w:pPr>
      <w:r>
        <w:rPr>
          <w:rFonts w:ascii="Arial" w:eastAsia="Arial" w:hAnsi="Arial" w:cs="Arial"/>
          <w:b/>
          <w:sz w:val="24"/>
          <w:szCs w:val="24"/>
        </w:rPr>
        <w:t xml:space="preserve"> “</w:t>
      </w:r>
      <w:r w:rsidRPr="00C2214A">
        <w:rPr>
          <w:rFonts w:ascii="Arial" w:eastAsia="Arial" w:hAnsi="Arial" w:cs="Arial"/>
          <w:i/>
          <w:sz w:val="24"/>
          <w:szCs w:val="24"/>
        </w:rPr>
        <w:t>Por medio de la cual se crean reglas de protección a las personas naturales que ejecuten contratos de prestación de servicios y de apoyo a la gestión y se dictan otras disposiciones.”</w:t>
      </w:r>
    </w:p>
    <w:p w:rsidR="00A82D64" w:rsidRDefault="00A82D64">
      <w:pPr>
        <w:jc w:val="center"/>
        <w:rPr>
          <w:rFonts w:ascii="Arial" w:eastAsia="Arial" w:hAnsi="Arial" w:cs="Arial"/>
          <w:b/>
          <w:sz w:val="24"/>
          <w:szCs w:val="24"/>
        </w:rPr>
      </w:pPr>
    </w:p>
    <w:p w:rsidR="00A82D64" w:rsidRDefault="007E62C7">
      <w:pPr>
        <w:jc w:val="center"/>
        <w:rPr>
          <w:rFonts w:ascii="Arial" w:eastAsia="Arial" w:hAnsi="Arial" w:cs="Arial"/>
          <w:b/>
          <w:sz w:val="24"/>
          <w:szCs w:val="24"/>
        </w:rPr>
      </w:pPr>
      <w:r>
        <w:rPr>
          <w:rFonts w:ascii="Arial" w:eastAsia="Arial" w:hAnsi="Arial" w:cs="Arial"/>
          <w:b/>
          <w:sz w:val="24"/>
          <w:szCs w:val="24"/>
        </w:rPr>
        <w:t>EXPOSICIÓN DE MOTIVOS</w:t>
      </w:r>
    </w:p>
    <w:p w:rsidR="00B06187" w:rsidRDefault="00B06187">
      <w:pPr>
        <w:jc w:val="center"/>
        <w:rPr>
          <w:rFonts w:ascii="Arial" w:eastAsia="Arial" w:hAnsi="Arial" w:cs="Arial"/>
          <w:b/>
          <w:sz w:val="24"/>
          <w:szCs w:val="24"/>
        </w:rPr>
      </w:pPr>
    </w:p>
    <w:p w:rsidR="00A82D64" w:rsidRDefault="007E62C7">
      <w:pPr>
        <w:numPr>
          <w:ilvl w:val="0"/>
          <w:numId w:val="1"/>
        </w:numPr>
        <w:spacing w:after="0"/>
        <w:ind w:hanging="360"/>
        <w:jc w:val="center"/>
        <w:rPr>
          <w:rFonts w:ascii="Arial" w:eastAsia="Arial" w:hAnsi="Arial" w:cs="Arial"/>
          <w:highlight w:val="white"/>
        </w:rPr>
      </w:pPr>
      <w:r>
        <w:rPr>
          <w:rFonts w:ascii="Arial" w:eastAsia="Arial" w:hAnsi="Arial" w:cs="Arial"/>
          <w:b/>
          <w:sz w:val="24"/>
          <w:szCs w:val="24"/>
          <w:highlight w:val="white"/>
        </w:rPr>
        <w:t>ANTECEDENTES DEL PROYECTO</w:t>
      </w:r>
    </w:p>
    <w:p w:rsidR="00A82D64" w:rsidRDefault="00A82D64">
      <w:pPr>
        <w:spacing w:after="0"/>
        <w:rPr>
          <w:rFonts w:ascii="Arial" w:eastAsia="Arial" w:hAnsi="Arial" w:cs="Arial"/>
          <w:b/>
          <w:sz w:val="24"/>
          <w:szCs w:val="24"/>
          <w:highlight w:val="white"/>
        </w:rPr>
      </w:pPr>
    </w:p>
    <w:p w:rsidR="00A82D64" w:rsidRDefault="007E62C7">
      <w:pPr>
        <w:spacing w:after="0"/>
        <w:jc w:val="both"/>
        <w:rPr>
          <w:rFonts w:ascii="Arial" w:eastAsia="Arial" w:hAnsi="Arial" w:cs="Arial"/>
          <w:sz w:val="24"/>
          <w:szCs w:val="24"/>
        </w:rPr>
      </w:pPr>
      <w:r>
        <w:rPr>
          <w:rFonts w:ascii="Arial" w:eastAsia="Arial" w:hAnsi="Arial" w:cs="Arial"/>
          <w:sz w:val="24"/>
          <w:szCs w:val="24"/>
        </w:rPr>
        <w:t>El presente proyecto de le</w:t>
      </w:r>
      <w:r w:rsidR="005D59AF">
        <w:rPr>
          <w:rFonts w:ascii="Arial" w:eastAsia="Arial" w:hAnsi="Arial" w:cs="Arial"/>
          <w:sz w:val="24"/>
          <w:szCs w:val="24"/>
        </w:rPr>
        <w:t xml:space="preserve">y se radica en la Secretaría, </w:t>
      </w:r>
      <w:r>
        <w:rPr>
          <w:rFonts w:ascii="Arial" w:eastAsia="Arial" w:hAnsi="Arial" w:cs="Arial"/>
          <w:sz w:val="24"/>
          <w:szCs w:val="24"/>
        </w:rPr>
        <w:t xml:space="preserve">por la Bancada del Partido MIRA por los HS Carlos Eduardo Guevara Villabón, H.S. Ana Paola Agudelo </w:t>
      </w:r>
      <w:r w:rsidR="005D59AF">
        <w:rPr>
          <w:rFonts w:ascii="Arial" w:eastAsia="Arial" w:hAnsi="Arial" w:cs="Arial"/>
          <w:sz w:val="24"/>
          <w:szCs w:val="24"/>
        </w:rPr>
        <w:t>García</w:t>
      </w:r>
      <w:r>
        <w:rPr>
          <w:rFonts w:ascii="Arial" w:eastAsia="Arial" w:hAnsi="Arial" w:cs="Arial"/>
          <w:sz w:val="24"/>
          <w:szCs w:val="24"/>
        </w:rPr>
        <w:t xml:space="preserve"> H.S Aydee Lizarazo Cubillos y la HR Irma Luz Herrera </w:t>
      </w:r>
      <w:r w:rsidR="005D59AF">
        <w:rPr>
          <w:rFonts w:ascii="Arial" w:eastAsia="Arial" w:hAnsi="Arial" w:cs="Arial"/>
          <w:sz w:val="24"/>
          <w:szCs w:val="24"/>
        </w:rPr>
        <w:t>Rodríguez</w:t>
      </w:r>
      <w:r>
        <w:rPr>
          <w:rFonts w:ascii="Arial" w:eastAsia="Arial" w:hAnsi="Arial" w:cs="Arial"/>
          <w:sz w:val="24"/>
          <w:szCs w:val="24"/>
        </w:rPr>
        <w:t xml:space="preserve">. </w:t>
      </w:r>
    </w:p>
    <w:p w:rsidR="00A82D64" w:rsidRDefault="00A82D64">
      <w:pPr>
        <w:spacing w:after="0"/>
        <w:jc w:val="both"/>
        <w:rPr>
          <w:rFonts w:ascii="Arial" w:eastAsia="Arial" w:hAnsi="Arial" w:cs="Arial"/>
          <w:sz w:val="24"/>
          <w:szCs w:val="24"/>
        </w:rPr>
      </w:pPr>
    </w:p>
    <w:p w:rsidR="00A82D64" w:rsidRDefault="007E62C7">
      <w:pPr>
        <w:spacing w:after="0"/>
        <w:jc w:val="both"/>
        <w:rPr>
          <w:rFonts w:ascii="Arial" w:eastAsia="Arial" w:hAnsi="Arial" w:cs="Arial"/>
          <w:sz w:val="24"/>
          <w:szCs w:val="24"/>
        </w:rPr>
      </w:pPr>
      <w:r>
        <w:rPr>
          <w:rFonts w:ascii="Arial" w:eastAsia="Arial" w:hAnsi="Arial" w:cs="Arial"/>
          <w:sz w:val="24"/>
          <w:szCs w:val="24"/>
        </w:rPr>
        <w:t>Sobre el tema, el pasado 17 de Agosto de 2017 los honorables Congresistas H.S.</w:t>
      </w:r>
      <w:hyperlink r:id="rId9">
        <w:r>
          <w:rPr>
            <w:rFonts w:ascii="Arial" w:eastAsia="Arial" w:hAnsi="Arial" w:cs="Arial"/>
            <w:sz w:val="24"/>
            <w:szCs w:val="24"/>
          </w:rPr>
          <w:t>Claudia Nayibe López Hernández</w:t>
        </w:r>
      </w:hyperlink>
      <w:r>
        <w:rPr>
          <w:rFonts w:ascii="Arial" w:eastAsia="Arial" w:hAnsi="Arial" w:cs="Arial"/>
          <w:sz w:val="24"/>
          <w:szCs w:val="24"/>
        </w:rPr>
        <w:t>, H.S.</w:t>
      </w:r>
      <w:hyperlink r:id="rId10">
        <w:r>
          <w:rPr>
            <w:rFonts w:ascii="Arial" w:eastAsia="Arial" w:hAnsi="Arial" w:cs="Arial"/>
            <w:sz w:val="24"/>
            <w:szCs w:val="24"/>
          </w:rPr>
          <w:t>Maritza Martínez Aristizábal</w:t>
        </w:r>
      </w:hyperlink>
      <w:r>
        <w:rPr>
          <w:rFonts w:ascii="Arial" w:eastAsia="Arial" w:hAnsi="Arial" w:cs="Arial"/>
          <w:sz w:val="24"/>
          <w:szCs w:val="24"/>
        </w:rPr>
        <w:t xml:space="preserve"> H.R.</w:t>
      </w:r>
      <w:hyperlink r:id="rId11">
        <w:r>
          <w:rPr>
            <w:rFonts w:ascii="Arial" w:eastAsia="Arial" w:hAnsi="Arial" w:cs="Arial"/>
            <w:sz w:val="24"/>
            <w:szCs w:val="24"/>
          </w:rPr>
          <w:t>Angélica Lisbeth Lozano Correa</w:t>
        </w:r>
      </w:hyperlink>
      <w:r>
        <w:rPr>
          <w:rFonts w:ascii="Arial" w:eastAsia="Arial" w:hAnsi="Arial" w:cs="Arial"/>
          <w:sz w:val="24"/>
          <w:szCs w:val="24"/>
        </w:rPr>
        <w:t xml:space="preserve"> , H.R.</w:t>
      </w:r>
      <w:hyperlink r:id="rId12">
        <w:r>
          <w:rPr>
            <w:rFonts w:ascii="Arial" w:eastAsia="Arial" w:hAnsi="Arial" w:cs="Arial"/>
            <w:sz w:val="24"/>
            <w:szCs w:val="24"/>
          </w:rPr>
          <w:t>Oscar Ospina Quintero</w:t>
        </w:r>
      </w:hyperlink>
      <w:r>
        <w:rPr>
          <w:rFonts w:ascii="Arial" w:eastAsia="Arial" w:hAnsi="Arial" w:cs="Arial"/>
          <w:sz w:val="24"/>
          <w:szCs w:val="24"/>
        </w:rPr>
        <w:t xml:space="preserve"> , H.R.</w:t>
      </w:r>
      <w:hyperlink r:id="rId13">
        <w:r>
          <w:rPr>
            <w:rFonts w:ascii="Arial" w:eastAsia="Arial" w:hAnsi="Arial" w:cs="Arial"/>
            <w:sz w:val="24"/>
            <w:szCs w:val="24"/>
          </w:rPr>
          <w:t>Inti Raúl Asprilla Reyes</w:t>
        </w:r>
      </w:hyperlink>
      <w:r>
        <w:rPr>
          <w:rFonts w:ascii="Arial" w:eastAsia="Arial" w:hAnsi="Arial" w:cs="Arial"/>
          <w:sz w:val="24"/>
          <w:szCs w:val="24"/>
        </w:rPr>
        <w:t xml:space="preserve"> , H.R.</w:t>
      </w:r>
      <w:hyperlink r:id="rId14">
        <w:r>
          <w:rPr>
            <w:rFonts w:ascii="Arial" w:eastAsia="Arial" w:hAnsi="Arial" w:cs="Arial"/>
            <w:sz w:val="24"/>
            <w:szCs w:val="24"/>
          </w:rPr>
          <w:t>Argenis Velásquez Ramírez</w:t>
        </w:r>
      </w:hyperlink>
      <w:r>
        <w:rPr>
          <w:rFonts w:ascii="Arial" w:eastAsia="Arial" w:hAnsi="Arial" w:cs="Arial"/>
          <w:sz w:val="24"/>
          <w:szCs w:val="24"/>
        </w:rPr>
        <w:t xml:space="preserve"> , H.R.</w:t>
      </w:r>
      <w:hyperlink r:id="rId15">
        <w:r>
          <w:rPr>
            <w:rFonts w:ascii="Arial" w:eastAsia="Arial" w:hAnsi="Arial" w:cs="Arial"/>
            <w:sz w:val="24"/>
            <w:szCs w:val="24"/>
          </w:rPr>
          <w:t>Ángela María Robledo Gómez</w:t>
        </w:r>
      </w:hyperlink>
      <w:r>
        <w:rPr>
          <w:rFonts w:ascii="Arial" w:eastAsia="Arial" w:hAnsi="Arial" w:cs="Arial"/>
          <w:sz w:val="24"/>
          <w:szCs w:val="24"/>
        </w:rPr>
        <w:t xml:space="preserve"> , H.R.</w:t>
      </w:r>
      <w:hyperlink r:id="rId16">
        <w:r>
          <w:rPr>
            <w:rFonts w:ascii="Arial" w:eastAsia="Arial" w:hAnsi="Arial" w:cs="Arial"/>
            <w:sz w:val="24"/>
            <w:szCs w:val="24"/>
          </w:rPr>
          <w:t xml:space="preserve">Fabio Raúl Amín </w:t>
        </w:r>
        <w:r w:rsidR="005D59AF">
          <w:rPr>
            <w:rFonts w:ascii="Arial" w:eastAsia="Arial" w:hAnsi="Arial" w:cs="Arial"/>
            <w:sz w:val="24"/>
            <w:szCs w:val="24"/>
          </w:rPr>
          <w:t>Sáleme</w:t>
        </w:r>
      </w:hyperlink>
      <w:r>
        <w:rPr>
          <w:rFonts w:ascii="Arial" w:eastAsia="Arial" w:hAnsi="Arial" w:cs="Arial"/>
          <w:sz w:val="24"/>
          <w:szCs w:val="24"/>
        </w:rPr>
        <w:t xml:space="preserve"> , H.R.</w:t>
      </w:r>
      <w:hyperlink r:id="rId17">
        <w:r>
          <w:rPr>
            <w:rFonts w:ascii="Arial" w:eastAsia="Arial" w:hAnsi="Arial" w:cs="Arial"/>
            <w:sz w:val="24"/>
            <w:szCs w:val="24"/>
          </w:rPr>
          <w:t>Carlos German Navas Talero</w:t>
        </w:r>
      </w:hyperlink>
      <w:r>
        <w:rPr>
          <w:rFonts w:ascii="Arial" w:eastAsia="Arial" w:hAnsi="Arial" w:cs="Arial"/>
          <w:sz w:val="24"/>
          <w:szCs w:val="24"/>
        </w:rPr>
        <w:t xml:space="preserve"> , H.R.</w:t>
      </w:r>
      <w:hyperlink r:id="rId18">
        <w:r>
          <w:rPr>
            <w:rFonts w:ascii="Arial" w:eastAsia="Arial" w:hAnsi="Arial" w:cs="Arial"/>
            <w:sz w:val="24"/>
            <w:szCs w:val="24"/>
          </w:rPr>
          <w:t>José Elver Hernández Casas</w:t>
        </w:r>
      </w:hyperlink>
      <w:r>
        <w:rPr>
          <w:rFonts w:ascii="Arial" w:eastAsia="Arial" w:hAnsi="Arial" w:cs="Arial"/>
          <w:sz w:val="24"/>
          <w:szCs w:val="24"/>
        </w:rPr>
        <w:t xml:space="preserve"> , H.R.</w:t>
      </w:r>
      <w:hyperlink r:id="rId19">
        <w:r>
          <w:rPr>
            <w:rFonts w:ascii="Arial" w:eastAsia="Arial" w:hAnsi="Arial" w:cs="Arial"/>
            <w:sz w:val="24"/>
            <w:szCs w:val="24"/>
          </w:rPr>
          <w:t>Oscar de Jesús Hurtado Pérez</w:t>
        </w:r>
      </w:hyperlink>
      <w:r>
        <w:rPr>
          <w:rFonts w:ascii="Arial" w:eastAsia="Arial" w:hAnsi="Arial" w:cs="Arial"/>
          <w:sz w:val="24"/>
          <w:szCs w:val="24"/>
        </w:rPr>
        <w:t xml:space="preserve"> , H.R.</w:t>
      </w:r>
      <w:hyperlink r:id="rId20">
        <w:r>
          <w:rPr>
            <w:rFonts w:ascii="Arial" w:eastAsia="Arial" w:hAnsi="Arial" w:cs="Arial"/>
            <w:sz w:val="24"/>
            <w:szCs w:val="24"/>
          </w:rPr>
          <w:t>Wilson Córdoba Mena</w:t>
        </w:r>
      </w:hyperlink>
      <w:r>
        <w:rPr>
          <w:rFonts w:ascii="Arial" w:eastAsia="Arial" w:hAnsi="Arial" w:cs="Arial"/>
          <w:sz w:val="24"/>
          <w:szCs w:val="24"/>
        </w:rPr>
        <w:t xml:space="preserve"> , H.R.</w:t>
      </w:r>
      <w:hyperlink r:id="rId21">
        <w:r>
          <w:rPr>
            <w:rFonts w:ascii="Arial" w:eastAsia="Arial" w:hAnsi="Arial" w:cs="Arial"/>
            <w:sz w:val="24"/>
            <w:szCs w:val="24"/>
          </w:rPr>
          <w:t>Germán Bernardo Carlosama López</w:t>
        </w:r>
      </w:hyperlink>
      <w:r>
        <w:rPr>
          <w:rFonts w:ascii="Arial" w:eastAsia="Arial" w:hAnsi="Arial" w:cs="Arial"/>
          <w:sz w:val="24"/>
          <w:szCs w:val="24"/>
        </w:rPr>
        <w:t xml:space="preserve"> , H.R.</w:t>
      </w:r>
      <w:hyperlink r:id="rId22">
        <w:r>
          <w:rPr>
            <w:rFonts w:ascii="Arial" w:eastAsia="Arial" w:hAnsi="Arial" w:cs="Arial"/>
            <w:sz w:val="24"/>
            <w:szCs w:val="24"/>
          </w:rPr>
          <w:t>Carlos Arturo Correa Mojica</w:t>
        </w:r>
      </w:hyperlink>
      <w:r>
        <w:rPr>
          <w:rFonts w:ascii="Arial" w:eastAsia="Arial" w:hAnsi="Arial" w:cs="Arial"/>
          <w:sz w:val="24"/>
          <w:szCs w:val="24"/>
        </w:rPr>
        <w:t>, H.R.</w:t>
      </w:r>
      <w:hyperlink r:id="rId23">
        <w:r>
          <w:rPr>
            <w:rFonts w:ascii="Arial" w:eastAsia="Arial" w:hAnsi="Arial" w:cs="Arial"/>
            <w:sz w:val="24"/>
            <w:szCs w:val="24"/>
          </w:rPr>
          <w:t>Rodrigo Lara Restrepo</w:t>
        </w:r>
      </w:hyperlink>
      <w:r>
        <w:rPr>
          <w:rFonts w:ascii="Arial" w:eastAsia="Arial" w:hAnsi="Arial" w:cs="Arial"/>
          <w:sz w:val="24"/>
          <w:szCs w:val="24"/>
        </w:rPr>
        <w:t xml:space="preserve"> , H.R.</w:t>
      </w:r>
      <w:hyperlink r:id="rId24">
        <w:r>
          <w:rPr>
            <w:rFonts w:ascii="Arial" w:eastAsia="Arial" w:hAnsi="Arial" w:cs="Arial"/>
            <w:sz w:val="24"/>
            <w:szCs w:val="24"/>
          </w:rPr>
          <w:t>Hernán Penagos Giraldo</w:t>
        </w:r>
      </w:hyperlink>
      <w:r>
        <w:rPr>
          <w:rFonts w:ascii="Arial" w:eastAsia="Arial" w:hAnsi="Arial" w:cs="Arial"/>
          <w:sz w:val="24"/>
          <w:szCs w:val="24"/>
        </w:rPr>
        <w:t xml:space="preserve"> , H.R.</w:t>
      </w:r>
      <w:hyperlink r:id="rId25">
        <w:r>
          <w:rPr>
            <w:rFonts w:ascii="Arial" w:eastAsia="Arial" w:hAnsi="Arial" w:cs="Arial"/>
            <w:sz w:val="24"/>
            <w:szCs w:val="24"/>
          </w:rPr>
          <w:t>Juan Carlos García Gómez</w:t>
        </w:r>
      </w:hyperlink>
      <w:r>
        <w:rPr>
          <w:rFonts w:ascii="Arial" w:eastAsia="Arial" w:hAnsi="Arial" w:cs="Arial"/>
          <w:sz w:val="24"/>
          <w:szCs w:val="24"/>
        </w:rPr>
        <w:t xml:space="preserve">, presentaron iniciativa legislativa 090 de 2017 </w:t>
      </w:r>
      <w:r w:rsidR="005D59AF" w:rsidRPr="005D59AF">
        <w:rPr>
          <w:rFonts w:ascii="Arial" w:eastAsia="Arial" w:hAnsi="Arial" w:cs="Arial"/>
          <w:sz w:val="24"/>
          <w:szCs w:val="24"/>
          <w:highlight w:val="white"/>
        </w:rPr>
        <w:t>Cámara</w:t>
      </w:r>
      <w:r w:rsidRPr="005D59AF">
        <w:rPr>
          <w:rFonts w:ascii="Arial" w:eastAsia="Arial" w:hAnsi="Arial" w:cs="Arial"/>
          <w:sz w:val="24"/>
          <w:szCs w:val="24"/>
          <w:highlight w:val="white"/>
        </w:rPr>
        <w:t xml:space="preserve"> “Por medio del cual se expide el régimen de trabajo decente para los contratistas de prestación de servicios y se dictan otras disposiciones en materia de contratación administrativa y modernización estatal” que</w:t>
      </w:r>
      <w:r>
        <w:rPr>
          <w:rFonts w:ascii="Arial" w:eastAsia="Arial" w:hAnsi="Arial" w:cs="Arial"/>
          <w:sz w:val="24"/>
          <w:szCs w:val="24"/>
        </w:rPr>
        <w:t xml:space="preserve"> buscaba según su exposición de motivos </w:t>
      </w:r>
      <w:r>
        <w:rPr>
          <w:rFonts w:ascii="Arial" w:eastAsia="Arial" w:hAnsi="Arial" w:cs="Arial"/>
          <w:sz w:val="24"/>
          <w:szCs w:val="24"/>
          <w:highlight w:val="white"/>
        </w:rPr>
        <w:t>establecer una serie de garantías y beneficios para los trabajadores vinculados mediante contratos de prestación de servicios, principalmente respecto de los que se encuentran vinculados bajo el régimen de contratación administrativa, así como propiciar la política nacional de trabajo decente y modernización laboral en el sector público, con el objeto de que no se sigan cometiendo abusos con las relaciones contractuales administrativas para encubrir relaciones de carácter laboral. Sin embargo la iniciativa hoy presentada dista del proyect</w:t>
      </w:r>
      <w:r>
        <w:rPr>
          <w:rFonts w:ascii="Arial" w:eastAsia="Arial" w:hAnsi="Arial" w:cs="Arial"/>
          <w:sz w:val="24"/>
          <w:szCs w:val="24"/>
        </w:rPr>
        <w:t xml:space="preserve">o antes mencionado ya que no busca definir o modificar el régimen de </w:t>
      </w:r>
      <w:r w:rsidR="005D59AF">
        <w:rPr>
          <w:rFonts w:ascii="Arial" w:eastAsia="Arial" w:hAnsi="Arial" w:cs="Arial"/>
          <w:sz w:val="24"/>
          <w:szCs w:val="24"/>
        </w:rPr>
        <w:t>contratación</w:t>
      </w:r>
      <w:r>
        <w:rPr>
          <w:rFonts w:ascii="Arial" w:eastAsia="Arial" w:hAnsi="Arial" w:cs="Arial"/>
          <w:sz w:val="24"/>
          <w:szCs w:val="24"/>
        </w:rPr>
        <w:t xml:space="preserve"> existente sino brindar 4 beneficios para este tipo de trabajadores independientes.</w:t>
      </w:r>
    </w:p>
    <w:p w:rsidR="00A82D64" w:rsidRDefault="00A82D64">
      <w:pPr>
        <w:spacing w:after="0"/>
        <w:jc w:val="both"/>
        <w:rPr>
          <w:rFonts w:ascii="Arial" w:eastAsia="Arial" w:hAnsi="Arial" w:cs="Arial"/>
          <w:sz w:val="24"/>
          <w:szCs w:val="24"/>
        </w:rPr>
      </w:pPr>
    </w:p>
    <w:p w:rsidR="00A82D64" w:rsidRDefault="00A82D64">
      <w:pPr>
        <w:spacing w:after="0"/>
        <w:jc w:val="both"/>
        <w:rPr>
          <w:rFonts w:ascii="Arial" w:eastAsia="Arial" w:hAnsi="Arial" w:cs="Arial"/>
          <w:sz w:val="24"/>
          <w:szCs w:val="24"/>
        </w:rPr>
      </w:pPr>
    </w:p>
    <w:p w:rsidR="00A82D64" w:rsidRDefault="007E62C7">
      <w:pPr>
        <w:numPr>
          <w:ilvl w:val="0"/>
          <w:numId w:val="1"/>
        </w:numPr>
        <w:spacing w:after="0"/>
        <w:ind w:hanging="360"/>
        <w:jc w:val="center"/>
        <w:rPr>
          <w:rFonts w:ascii="Arial" w:eastAsia="Arial" w:hAnsi="Arial" w:cs="Arial"/>
          <w:highlight w:val="white"/>
        </w:rPr>
      </w:pPr>
      <w:r>
        <w:rPr>
          <w:rFonts w:ascii="Arial" w:eastAsia="Arial" w:hAnsi="Arial" w:cs="Arial"/>
          <w:b/>
          <w:sz w:val="24"/>
          <w:szCs w:val="24"/>
        </w:rPr>
        <w:t>NECESIDAD Y OBJETO DEL PROYECTO DE LEY</w:t>
      </w:r>
    </w:p>
    <w:p w:rsidR="00B06187" w:rsidRDefault="00B06187">
      <w:pPr>
        <w:pBdr>
          <w:top w:val="nil"/>
          <w:left w:val="nil"/>
          <w:bottom w:val="nil"/>
          <w:right w:val="nil"/>
          <w:between w:val="nil"/>
        </w:pBdr>
        <w:jc w:val="both"/>
        <w:rPr>
          <w:rFonts w:ascii="Arial" w:eastAsia="Arial" w:hAnsi="Arial" w:cs="Arial"/>
          <w:sz w:val="24"/>
          <w:szCs w:val="24"/>
        </w:rPr>
      </w:pPr>
    </w:p>
    <w:p w:rsidR="00A82D64" w:rsidRDefault="007E62C7">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El proyecto de ley presentado busca reconocer y regular un </w:t>
      </w:r>
      <w:r w:rsidR="005D59AF">
        <w:rPr>
          <w:rFonts w:ascii="Arial" w:eastAsia="Arial" w:hAnsi="Arial" w:cs="Arial"/>
          <w:sz w:val="24"/>
          <w:szCs w:val="24"/>
        </w:rPr>
        <w:t>día</w:t>
      </w:r>
      <w:r>
        <w:rPr>
          <w:rFonts w:ascii="Arial" w:eastAsia="Arial" w:hAnsi="Arial" w:cs="Arial"/>
          <w:sz w:val="24"/>
          <w:szCs w:val="24"/>
        </w:rPr>
        <w:t xml:space="preserve"> de descanso a las personas naturales que ejecuten contratos de prestación de servicios personales y de apoyo a la gestión,  por cada mes de ejecución del mismo. Busca definir vía ley el Ingreso Base de Cotización al Sistema de Seguridad Social Integral del trabajador independiente, promover su  afiliación a las Cajas de Compensación Familiar y fomentar el pago oportuno de sus honorarios a través de la digitalización de las cuentas de cobro y el establecimiento de un término perentorio para efectuar el desembolso cuando las mismas cumplan los requisitos para su reconocimiento y pago.</w:t>
      </w:r>
    </w:p>
    <w:p w:rsidR="00A82D64" w:rsidRDefault="007E62C7">
      <w:pPr>
        <w:jc w:val="both"/>
        <w:rPr>
          <w:rFonts w:ascii="Arial" w:eastAsia="Arial" w:hAnsi="Arial" w:cs="Arial"/>
          <w:sz w:val="24"/>
          <w:szCs w:val="24"/>
        </w:rPr>
      </w:pPr>
      <w:r>
        <w:rPr>
          <w:rFonts w:ascii="Arial" w:eastAsia="Arial" w:hAnsi="Arial" w:cs="Arial"/>
          <w:sz w:val="24"/>
          <w:szCs w:val="24"/>
        </w:rPr>
        <w:t xml:space="preserve">La necesidad del proyecto nace por las recurrentes quejas de los contratistas que se ven afectados por la demoras injustificadas del pago de sus honorario que pueden superar los (02) dos meses y la inestabilidad económica que le genera su actividad independiente al depender del turno que las entidades le otorgan al momento de la </w:t>
      </w:r>
      <w:r w:rsidR="005D59AF">
        <w:rPr>
          <w:rFonts w:ascii="Arial" w:eastAsia="Arial" w:hAnsi="Arial" w:cs="Arial"/>
          <w:sz w:val="24"/>
          <w:szCs w:val="24"/>
        </w:rPr>
        <w:t>presentación</w:t>
      </w:r>
      <w:r>
        <w:rPr>
          <w:rFonts w:ascii="Arial" w:eastAsia="Arial" w:hAnsi="Arial" w:cs="Arial"/>
          <w:sz w:val="24"/>
          <w:szCs w:val="24"/>
        </w:rPr>
        <w:t xml:space="preserve"> de las cuentas de cobro. </w:t>
      </w:r>
    </w:p>
    <w:p w:rsidR="00A82D64" w:rsidRDefault="007E62C7">
      <w:pPr>
        <w:jc w:val="both"/>
        <w:rPr>
          <w:rFonts w:ascii="Arial" w:eastAsia="Arial" w:hAnsi="Arial" w:cs="Arial"/>
          <w:sz w:val="24"/>
          <w:szCs w:val="24"/>
        </w:rPr>
      </w:pPr>
      <w:r>
        <w:rPr>
          <w:rFonts w:ascii="Arial" w:eastAsia="Arial" w:hAnsi="Arial" w:cs="Arial"/>
          <w:sz w:val="24"/>
          <w:szCs w:val="24"/>
        </w:rPr>
        <w:t>Pese a la disposición contenida en el artículo 4 numeral 10 de la ley 80 de Contratación  adicionado por el art. 19 de la Ley 1150 de 2007, de respetar el orden de presentación de los pagos por parte de los contratistas. Existen quejas sobre la inoperancia de esta norma por lo cual se hace necesario fijar un término para el reconocimiento y desembolso de los honorarios de este grupo poblacional y la digitalización y trazabilidad del trámite de pago,  impactando así de forma favorable sus condiciones de vida y la de sus familias.</w:t>
      </w:r>
    </w:p>
    <w:p w:rsidR="00A82D64" w:rsidRDefault="00A82D64">
      <w:pPr>
        <w:spacing w:after="0"/>
        <w:jc w:val="both"/>
        <w:rPr>
          <w:rFonts w:ascii="Arial" w:eastAsia="Arial" w:hAnsi="Arial" w:cs="Arial"/>
          <w:sz w:val="24"/>
          <w:szCs w:val="24"/>
        </w:rPr>
      </w:pPr>
    </w:p>
    <w:p w:rsidR="00A82D64" w:rsidRDefault="00B06187">
      <w:pPr>
        <w:rPr>
          <w:rFonts w:ascii="Arial" w:eastAsia="Arial" w:hAnsi="Arial" w:cs="Arial"/>
          <w:b/>
          <w:sz w:val="24"/>
          <w:szCs w:val="24"/>
        </w:rPr>
      </w:pPr>
      <w:r>
        <w:rPr>
          <w:rFonts w:ascii="Arial" w:eastAsia="Arial" w:hAnsi="Arial" w:cs="Arial"/>
          <w:b/>
          <w:sz w:val="24"/>
          <w:szCs w:val="24"/>
        </w:rPr>
        <w:t>2.1 Cifras Contratistas de Prestación Personal de Servicios Profesionales y de Apoyo a</w:t>
      </w:r>
      <w:r w:rsidR="007E62C7">
        <w:rPr>
          <w:rFonts w:ascii="Arial" w:eastAsia="Arial" w:hAnsi="Arial" w:cs="Arial"/>
          <w:b/>
          <w:sz w:val="24"/>
          <w:szCs w:val="24"/>
        </w:rPr>
        <w:t xml:space="preserve"> La Gestión.</w:t>
      </w:r>
    </w:p>
    <w:p w:rsidR="00A82D64" w:rsidRDefault="007E62C7">
      <w:pPr>
        <w:jc w:val="both"/>
        <w:rPr>
          <w:rFonts w:ascii="Arial" w:eastAsia="Arial" w:hAnsi="Arial" w:cs="Arial"/>
          <w:sz w:val="24"/>
          <w:szCs w:val="24"/>
        </w:rPr>
      </w:pPr>
      <w:r>
        <w:rPr>
          <w:rFonts w:ascii="Arial" w:eastAsia="Arial" w:hAnsi="Arial" w:cs="Arial"/>
          <w:sz w:val="24"/>
          <w:szCs w:val="24"/>
        </w:rPr>
        <w:t xml:space="preserve">En respuesta dada por el Ministerio de Salud y Protección Social mediante oficio </w:t>
      </w:r>
      <w:r w:rsidRPr="005F3CCD">
        <w:rPr>
          <w:rFonts w:ascii="Arial" w:eastAsia="Arial" w:hAnsi="Arial" w:cs="Arial"/>
          <w:sz w:val="24"/>
          <w:szCs w:val="24"/>
        </w:rPr>
        <w:t>20193</w:t>
      </w:r>
      <w:r>
        <w:rPr>
          <w:rFonts w:ascii="Arial" w:eastAsia="Arial" w:hAnsi="Arial" w:cs="Arial"/>
          <w:sz w:val="24"/>
          <w:szCs w:val="24"/>
        </w:rPr>
        <w:t xml:space="preserve">1200736341, la entidad señala </w:t>
      </w:r>
      <w:r w:rsidR="005F3CCD">
        <w:rPr>
          <w:rFonts w:ascii="Arial" w:eastAsia="Arial" w:hAnsi="Arial" w:cs="Arial"/>
          <w:sz w:val="24"/>
          <w:szCs w:val="24"/>
        </w:rPr>
        <w:t xml:space="preserve">que 194.379 personas cotizan como </w:t>
      </w:r>
      <w:r>
        <w:rPr>
          <w:rFonts w:ascii="Arial" w:eastAsia="Arial" w:hAnsi="Arial" w:cs="Arial"/>
          <w:sz w:val="24"/>
          <w:szCs w:val="24"/>
        </w:rPr>
        <w:t xml:space="preserve">contratistas por prestación de servicios </w:t>
      </w:r>
      <w:r w:rsidR="005F3CCD">
        <w:rPr>
          <w:rFonts w:ascii="Arial" w:eastAsia="Arial" w:hAnsi="Arial" w:cs="Arial"/>
          <w:sz w:val="24"/>
          <w:szCs w:val="24"/>
        </w:rPr>
        <w:t xml:space="preserve">con </w:t>
      </w:r>
      <w:r>
        <w:rPr>
          <w:rFonts w:ascii="Arial" w:eastAsia="Arial" w:hAnsi="Arial" w:cs="Arial"/>
          <w:sz w:val="24"/>
          <w:szCs w:val="24"/>
        </w:rPr>
        <w:t xml:space="preserve">ingresos menores a 1 salario mínimo mensual legal vigente, </w:t>
      </w:r>
      <w:r w:rsidR="005F3CCD">
        <w:rPr>
          <w:rFonts w:ascii="Arial" w:eastAsia="Arial" w:hAnsi="Arial" w:cs="Arial"/>
          <w:sz w:val="24"/>
          <w:szCs w:val="24"/>
        </w:rPr>
        <w:t xml:space="preserve">107.565 cotizan </w:t>
      </w:r>
      <w:r>
        <w:rPr>
          <w:rFonts w:ascii="Arial" w:eastAsia="Arial" w:hAnsi="Arial" w:cs="Arial"/>
          <w:sz w:val="24"/>
          <w:szCs w:val="24"/>
        </w:rPr>
        <w:t xml:space="preserve">entre 1 y 2 salarios mínimos mensuales legales vigentes </w:t>
      </w:r>
      <w:r w:rsidR="005F3CCD">
        <w:rPr>
          <w:rFonts w:ascii="Arial" w:eastAsia="Arial" w:hAnsi="Arial" w:cs="Arial"/>
          <w:sz w:val="24"/>
          <w:szCs w:val="24"/>
        </w:rPr>
        <w:t xml:space="preserve">y 41.722 cotizan </w:t>
      </w:r>
      <w:r>
        <w:rPr>
          <w:rFonts w:ascii="Arial" w:eastAsia="Arial" w:hAnsi="Arial" w:cs="Arial"/>
          <w:sz w:val="24"/>
          <w:szCs w:val="24"/>
        </w:rPr>
        <w:t>entre 3 y 4  salarios mínimos mensuales legales vigentes bajo esta modalidad</w:t>
      </w:r>
      <w:r w:rsidR="005F3CCD">
        <w:rPr>
          <w:rFonts w:ascii="Arial" w:eastAsia="Arial" w:hAnsi="Arial" w:cs="Arial"/>
          <w:sz w:val="24"/>
          <w:szCs w:val="24"/>
        </w:rPr>
        <w:t xml:space="preserve"> para un total de 343.666 trabajadores independientes</w:t>
      </w:r>
      <w:r>
        <w:rPr>
          <w:rFonts w:ascii="Arial" w:eastAsia="Arial" w:hAnsi="Arial" w:cs="Arial"/>
          <w:sz w:val="24"/>
          <w:szCs w:val="24"/>
        </w:rPr>
        <w:t xml:space="preserve">. </w:t>
      </w:r>
    </w:p>
    <w:p w:rsidR="00A82D64" w:rsidRDefault="007E62C7">
      <w:pPr>
        <w:spacing w:after="0"/>
        <w:jc w:val="both"/>
        <w:rPr>
          <w:rFonts w:ascii="Arial" w:eastAsia="Arial" w:hAnsi="Arial" w:cs="Arial"/>
          <w:sz w:val="24"/>
          <w:szCs w:val="24"/>
        </w:rPr>
      </w:pPr>
      <w:r>
        <w:rPr>
          <w:rFonts w:ascii="Arial" w:eastAsia="Arial" w:hAnsi="Arial" w:cs="Arial"/>
          <w:sz w:val="24"/>
          <w:szCs w:val="24"/>
        </w:rPr>
        <w:lastRenderedPageBreak/>
        <w:t>Para el año 2016 el  Ministerio de Salud y Protección Social informó que más de millón de personas</w:t>
      </w:r>
      <w:r>
        <w:rPr>
          <w:rFonts w:ascii="Arial" w:eastAsia="Arial" w:hAnsi="Arial" w:cs="Arial"/>
          <w:sz w:val="24"/>
          <w:szCs w:val="24"/>
          <w:vertAlign w:val="superscript"/>
        </w:rPr>
        <w:footnoteReference w:id="1"/>
      </w:r>
      <w:r>
        <w:rPr>
          <w:rFonts w:ascii="Arial" w:eastAsia="Arial" w:hAnsi="Arial" w:cs="Arial"/>
          <w:sz w:val="24"/>
          <w:szCs w:val="24"/>
        </w:rPr>
        <w:t xml:space="preserve"> cotizaban al sistema de seguridad social como independientes; de los cuales alrededor del 75% –es decir 756.000 personas lo hacían como  independientes contratistas de </w:t>
      </w:r>
      <w:r w:rsidR="00B06187">
        <w:rPr>
          <w:rFonts w:ascii="Arial" w:eastAsia="Arial" w:hAnsi="Arial" w:cs="Arial"/>
          <w:sz w:val="24"/>
          <w:szCs w:val="24"/>
        </w:rPr>
        <w:t>Prestación</w:t>
      </w:r>
      <w:r>
        <w:rPr>
          <w:rFonts w:ascii="Arial" w:eastAsia="Arial" w:hAnsi="Arial" w:cs="Arial"/>
          <w:sz w:val="24"/>
          <w:szCs w:val="24"/>
        </w:rPr>
        <w:t xml:space="preserve"> de Servicios. </w:t>
      </w:r>
      <w:r w:rsidR="005F3CCD">
        <w:rPr>
          <w:rFonts w:ascii="Arial" w:eastAsia="Arial" w:hAnsi="Arial" w:cs="Arial"/>
          <w:sz w:val="24"/>
          <w:szCs w:val="24"/>
        </w:rPr>
        <w:t>Según</w:t>
      </w:r>
      <w:r>
        <w:rPr>
          <w:rFonts w:ascii="Arial" w:eastAsia="Arial" w:hAnsi="Arial" w:cs="Arial"/>
          <w:sz w:val="24"/>
          <w:szCs w:val="24"/>
        </w:rPr>
        <w:t xml:space="preserve"> Colombia Compra Eficiente</w:t>
      </w:r>
      <w:r>
        <w:rPr>
          <w:rFonts w:ascii="Arial" w:eastAsia="Arial" w:hAnsi="Arial" w:cs="Arial"/>
          <w:sz w:val="24"/>
          <w:szCs w:val="24"/>
          <w:vertAlign w:val="superscript"/>
        </w:rPr>
        <w:footnoteReference w:id="2"/>
      </w:r>
      <w:r>
        <w:rPr>
          <w:rFonts w:ascii="Arial" w:eastAsia="Arial" w:hAnsi="Arial" w:cs="Arial"/>
          <w:sz w:val="24"/>
          <w:szCs w:val="24"/>
        </w:rPr>
        <w:t xml:space="preserve"> y obtenido de la información consignada en el SECOP, en el sector público para la misma vigencia 243.427 personas habían sido contratadas bajo la modalidad de contrato de prestación de servicios.</w:t>
      </w:r>
    </w:p>
    <w:p w:rsidR="00A82D64" w:rsidRDefault="00A82D64">
      <w:pPr>
        <w:jc w:val="both"/>
        <w:rPr>
          <w:rFonts w:ascii="Arial" w:eastAsia="Arial" w:hAnsi="Arial" w:cs="Arial"/>
          <w:sz w:val="24"/>
          <w:szCs w:val="24"/>
        </w:rPr>
      </w:pPr>
    </w:p>
    <w:p w:rsidR="00A82D64" w:rsidRDefault="00C2214A">
      <w:pPr>
        <w:jc w:val="both"/>
        <w:rPr>
          <w:rFonts w:ascii="Arial" w:eastAsia="Arial" w:hAnsi="Arial" w:cs="Arial"/>
          <w:b/>
          <w:sz w:val="24"/>
          <w:szCs w:val="24"/>
        </w:rPr>
      </w:pPr>
      <w:r>
        <w:rPr>
          <w:noProof/>
        </w:rPr>
        <w:drawing>
          <wp:anchor distT="0" distB="0" distL="114300" distR="114300" simplePos="0" relativeHeight="251658240" behindDoc="1" locked="0" layoutInCell="1" allowOverlap="1" wp14:anchorId="68DCE150" wp14:editId="7CBCA6C8">
            <wp:simplePos x="0" y="0"/>
            <wp:positionH relativeFrom="column">
              <wp:posOffset>824865</wp:posOffset>
            </wp:positionH>
            <wp:positionV relativeFrom="paragraph">
              <wp:posOffset>473075</wp:posOffset>
            </wp:positionV>
            <wp:extent cx="4114800" cy="4667250"/>
            <wp:effectExtent l="0" t="0" r="0" b="0"/>
            <wp:wrapSquare wrapText="bothSides"/>
            <wp:docPr id="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a:extLst>
                        <a:ext uri="{28A0092B-C50C-407E-A947-70E740481C1C}">
                          <a14:useLocalDpi xmlns:a14="http://schemas.microsoft.com/office/drawing/2010/main" val="0"/>
                        </a:ext>
                      </a:extLst>
                    </a:blip>
                    <a:srcRect l="25816" t="22718" r="26628" b="18644"/>
                    <a:stretch>
                      <a:fillRect/>
                    </a:stretch>
                  </pic:blipFill>
                  <pic:spPr>
                    <a:xfrm>
                      <a:off x="0" y="0"/>
                      <a:ext cx="4114800" cy="4667250"/>
                    </a:xfrm>
                    <a:prstGeom prst="rect">
                      <a:avLst/>
                    </a:prstGeom>
                    <a:ln/>
                  </pic:spPr>
                </pic:pic>
              </a:graphicData>
            </a:graphic>
            <wp14:sizeRelH relativeFrom="page">
              <wp14:pctWidth>0</wp14:pctWidth>
            </wp14:sizeRelH>
            <wp14:sizeRelV relativeFrom="page">
              <wp14:pctHeight>0</wp14:pctHeight>
            </wp14:sizeRelV>
          </wp:anchor>
        </w:drawing>
      </w:r>
      <w:r w:rsidR="007E62C7">
        <w:rPr>
          <w:rFonts w:ascii="Arial" w:eastAsia="Arial" w:hAnsi="Arial" w:cs="Arial"/>
          <w:b/>
          <w:sz w:val="24"/>
          <w:szCs w:val="24"/>
        </w:rPr>
        <w:t xml:space="preserve">2.2 Del Informe De Control </w:t>
      </w:r>
      <w:r w:rsidR="005F3CCD">
        <w:rPr>
          <w:rFonts w:ascii="Arial" w:eastAsia="Arial" w:hAnsi="Arial" w:cs="Arial"/>
          <w:b/>
          <w:sz w:val="24"/>
          <w:szCs w:val="24"/>
        </w:rPr>
        <w:t>a</w:t>
      </w:r>
      <w:r w:rsidR="007E62C7">
        <w:rPr>
          <w:rFonts w:ascii="Arial" w:eastAsia="Arial" w:hAnsi="Arial" w:cs="Arial"/>
          <w:b/>
          <w:sz w:val="24"/>
          <w:szCs w:val="24"/>
        </w:rPr>
        <w:t xml:space="preserve"> La Contratación: Riesgos, Desaciertos Y </w:t>
      </w:r>
      <w:r w:rsidR="007E62C7">
        <w:rPr>
          <w:rFonts w:ascii="Arial" w:eastAsia="Arial" w:hAnsi="Arial" w:cs="Arial"/>
          <w:b/>
          <w:sz w:val="24"/>
          <w:szCs w:val="24"/>
        </w:rPr>
        <w:lastRenderedPageBreak/>
        <w:t>Posibilidades. Auditoría General de la República. Mayo 2011</w:t>
      </w:r>
      <w:r w:rsidR="007E62C7">
        <w:rPr>
          <w:rFonts w:ascii="Arial" w:eastAsia="Arial" w:hAnsi="Arial" w:cs="Arial"/>
          <w:b/>
          <w:sz w:val="24"/>
          <w:szCs w:val="24"/>
          <w:vertAlign w:val="superscript"/>
        </w:rPr>
        <w:footnoteReference w:id="3"/>
      </w:r>
      <w:r w:rsidR="005F3CCD">
        <w:rPr>
          <w:rFonts w:ascii="Arial" w:eastAsia="Arial" w:hAnsi="Arial" w:cs="Arial"/>
          <w:b/>
          <w:sz w:val="24"/>
          <w:szCs w:val="24"/>
        </w:rPr>
        <w:t>.</w:t>
      </w:r>
    </w:p>
    <w:p w:rsidR="00A82D64" w:rsidRDefault="007E62C7">
      <w:pPr>
        <w:jc w:val="both"/>
        <w:rPr>
          <w:rFonts w:ascii="Arial" w:eastAsia="Arial" w:hAnsi="Arial" w:cs="Arial"/>
          <w:b/>
          <w:sz w:val="24"/>
          <w:szCs w:val="24"/>
        </w:rPr>
      </w:pPr>
      <w:r>
        <w:rPr>
          <w:noProof/>
        </w:rPr>
        <w:drawing>
          <wp:inline distT="0" distB="0" distL="0" distR="0">
            <wp:extent cx="5690450" cy="886452"/>
            <wp:effectExtent l="0" t="0" r="0" b="0"/>
            <wp:docPr id="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7"/>
                    <a:srcRect l="26383" t="9977" r="26230" b="80794"/>
                    <a:stretch>
                      <a:fillRect/>
                    </a:stretch>
                  </pic:blipFill>
                  <pic:spPr>
                    <a:xfrm>
                      <a:off x="0" y="0"/>
                      <a:ext cx="5690450" cy="886452"/>
                    </a:xfrm>
                    <a:prstGeom prst="rect">
                      <a:avLst/>
                    </a:prstGeom>
                    <a:ln/>
                  </pic:spPr>
                </pic:pic>
              </a:graphicData>
            </a:graphic>
          </wp:inline>
        </w:drawing>
      </w:r>
    </w:p>
    <w:p w:rsidR="00A82D64" w:rsidRDefault="00A82D64">
      <w:pPr>
        <w:jc w:val="both"/>
        <w:rPr>
          <w:rFonts w:ascii="Arial" w:eastAsia="Arial" w:hAnsi="Arial" w:cs="Arial"/>
          <w:b/>
          <w:sz w:val="24"/>
          <w:szCs w:val="24"/>
        </w:rPr>
      </w:pPr>
    </w:p>
    <w:p w:rsidR="00A82D64" w:rsidRDefault="007E62C7">
      <w:pPr>
        <w:jc w:val="both"/>
        <w:rPr>
          <w:rFonts w:ascii="Arial" w:eastAsia="Arial" w:hAnsi="Arial" w:cs="Arial"/>
          <w:sz w:val="24"/>
          <w:szCs w:val="24"/>
        </w:rPr>
      </w:pPr>
      <w:r>
        <w:rPr>
          <w:noProof/>
        </w:rPr>
        <w:drawing>
          <wp:inline distT="0" distB="0" distL="0" distR="0">
            <wp:extent cx="4815030" cy="1458811"/>
            <wp:effectExtent l="0" t="0" r="0" b="0"/>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8"/>
                    <a:srcRect l="26277" t="9554" r="32786" b="74943"/>
                    <a:stretch>
                      <a:fillRect/>
                    </a:stretch>
                  </pic:blipFill>
                  <pic:spPr>
                    <a:xfrm>
                      <a:off x="0" y="0"/>
                      <a:ext cx="4815030" cy="1458811"/>
                    </a:xfrm>
                    <a:prstGeom prst="rect">
                      <a:avLst/>
                    </a:prstGeom>
                    <a:ln/>
                  </pic:spPr>
                </pic:pic>
              </a:graphicData>
            </a:graphic>
          </wp:inline>
        </w:drawing>
      </w:r>
    </w:p>
    <w:p w:rsidR="00A82D64" w:rsidRDefault="007E62C7">
      <w:pPr>
        <w:jc w:val="both"/>
        <w:rPr>
          <w:rFonts w:ascii="Arial" w:eastAsia="Arial" w:hAnsi="Arial" w:cs="Arial"/>
          <w:sz w:val="24"/>
          <w:szCs w:val="24"/>
        </w:rPr>
      </w:pPr>
      <w:r>
        <w:rPr>
          <w:noProof/>
        </w:rPr>
        <w:drawing>
          <wp:inline distT="0" distB="0" distL="0" distR="0">
            <wp:extent cx="5519946" cy="1515840"/>
            <wp:effectExtent l="0" t="0" r="0" b="0"/>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8"/>
                    <a:srcRect l="25897" t="46311" r="26756" b="36942"/>
                    <a:stretch>
                      <a:fillRect/>
                    </a:stretch>
                  </pic:blipFill>
                  <pic:spPr>
                    <a:xfrm>
                      <a:off x="0" y="0"/>
                      <a:ext cx="5519946" cy="1515840"/>
                    </a:xfrm>
                    <a:prstGeom prst="rect">
                      <a:avLst/>
                    </a:prstGeom>
                    <a:ln/>
                  </pic:spPr>
                </pic:pic>
              </a:graphicData>
            </a:graphic>
          </wp:inline>
        </w:drawing>
      </w:r>
    </w:p>
    <w:p w:rsidR="00A82D64" w:rsidRDefault="007E62C7">
      <w:pPr>
        <w:jc w:val="both"/>
        <w:rPr>
          <w:rFonts w:ascii="Arial" w:eastAsia="Arial" w:hAnsi="Arial" w:cs="Arial"/>
          <w:b/>
          <w:sz w:val="24"/>
          <w:szCs w:val="24"/>
        </w:rPr>
      </w:pPr>
      <w:r>
        <w:rPr>
          <w:rFonts w:ascii="Arial" w:eastAsia="Arial" w:hAnsi="Arial" w:cs="Arial"/>
          <w:b/>
          <w:sz w:val="24"/>
          <w:szCs w:val="24"/>
        </w:rPr>
        <w:t>2.3 Empleo E Informalidad En Colombia</w:t>
      </w:r>
    </w:p>
    <w:p w:rsidR="00A82D64" w:rsidRDefault="007E62C7">
      <w:pPr>
        <w:jc w:val="both"/>
        <w:rPr>
          <w:rFonts w:ascii="Arial" w:eastAsia="Arial" w:hAnsi="Arial" w:cs="Arial"/>
          <w:b/>
          <w:color w:val="393939"/>
          <w:sz w:val="24"/>
          <w:szCs w:val="24"/>
        </w:rPr>
      </w:pPr>
      <w:r>
        <w:rPr>
          <w:rFonts w:ascii="Arial" w:eastAsia="Arial" w:hAnsi="Arial" w:cs="Arial"/>
          <w:sz w:val="24"/>
          <w:szCs w:val="24"/>
        </w:rPr>
        <w:t xml:space="preserve">Por su parte la Organización Internacional del Trabajo (OIT) reporta que  la informalidad laboral en Colombia es la más alta del mundo: 61,3%. Para Stefano </w:t>
      </w:r>
      <w:proofErr w:type="spellStart"/>
      <w:r>
        <w:rPr>
          <w:rFonts w:ascii="Arial" w:eastAsia="Arial" w:hAnsi="Arial" w:cs="Arial"/>
          <w:sz w:val="24"/>
          <w:szCs w:val="24"/>
        </w:rPr>
        <w:t>Farné</w:t>
      </w:r>
      <w:proofErr w:type="spellEnd"/>
      <w:r>
        <w:rPr>
          <w:rFonts w:ascii="Arial" w:eastAsia="Arial" w:hAnsi="Arial" w:cs="Arial"/>
          <w:sz w:val="24"/>
          <w:szCs w:val="24"/>
        </w:rPr>
        <w:t xml:space="preserve">, director del Observatorio de Mercado de Trabajo, de la Universidad Externado de Colombia, una de las razones principales de la informalidad es la baja productividad del grueso de personas que están en la informalidad “La gente poco productiva, entendida como la de bajos ingresos, no logra financiar los costos que se derivan de la formalización”, </w:t>
      </w:r>
    </w:p>
    <w:p w:rsidR="00A82D64" w:rsidRDefault="007E62C7">
      <w:pPr>
        <w:jc w:val="both"/>
        <w:rPr>
          <w:rFonts w:ascii="Arial" w:eastAsia="Arial" w:hAnsi="Arial" w:cs="Arial"/>
          <w:sz w:val="24"/>
          <w:szCs w:val="24"/>
        </w:rPr>
      </w:pPr>
      <w:r>
        <w:rPr>
          <w:rFonts w:ascii="Arial" w:eastAsia="Arial" w:hAnsi="Arial" w:cs="Arial"/>
          <w:sz w:val="24"/>
          <w:szCs w:val="24"/>
        </w:rPr>
        <w:t>En la última Gran encuesta integrada de hogares (GEIH) Mercado laboral que realizó el DANE, estableció que la Informalidad total de las 13 áreas metropolitanas  fue de 48,1%  y para las  23 ciudades capitales fue 46,9</w:t>
      </w:r>
      <w:proofErr w:type="gramStart"/>
      <w:r>
        <w:rPr>
          <w:rFonts w:ascii="Arial" w:eastAsia="Arial" w:hAnsi="Arial" w:cs="Arial"/>
          <w:sz w:val="24"/>
          <w:szCs w:val="24"/>
        </w:rPr>
        <w:t>% .</w:t>
      </w:r>
      <w:proofErr w:type="gramEnd"/>
    </w:p>
    <w:p w:rsidR="00A82D64" w:rsidRDefault="005F3CCD">
      <w:pPr>
        <w:jc w:val="both"/>
        <w:rPr>
          <w:rFonts w:ascii="Arial" w:eastAsia="Arial" w:hAnsi="Arial" w:cs="Arial"/>
          <w:sz w:val="24"/>
          <w:szCs w:val="24"/>
        </w:rPr>
      </w:pPr>
      <w:r>
        <w:rPr>
          <w:rFonts w:ascii="Arial" w:eastAsia="Arial" w:hAnsi="Arial" w:cs="Arial"/>
          <w:sz w:val="24"/>
          <w:szCs w:val="24"/>
        </w:rPr>
        <w:lastRenderedPageBreak/>
        <w:t>Para el periodo marzo - mayo 2019</w:t>
      </w:r>
      <w:r w:rsidR="007E62C7">
        <w:rPr>
          <w:rFonts w:ascii="Arial" w:eastAsia="Arial" w:hAnsi="Arial" w:cs="Arial"/>
          <w:sz w:val="24"/>
          <w:szCs w:val="24"/>
        </w:rPr>
        <w:t>, de las 23 ciudades y áreas metropolitanas, las que presentaron mayor proporción de informalidad fueron: Cúcuta A.M. (70,3%), Riohacha (64,1%) y Sincelejo (63,8%). Las ciudades con menor proporción de informalidad fueron: Manizales A.M. (39,8%), Bogotá D.C. (42,2%) y Medellín A.M. (42,9%).</w:t>
      </w:r>
    </w:p>
    <w:p w:rsidR="00A82D64" w:rsidRDefault="007E62C7">
      <w:pPr>
        <w:jc w:val="both"/>
        <w:rPr>
          <w:rFonts w:ascii="Arial" w:eastAsia="Arial" w:hAnsi="Arial" w:cs="Arial"/>
          <w:sz w:val="24"/>
          <w:szCs w:val="24"/>
        </w:rPr>
      </w:pPr>
      <w:r>
        <w:rPr>
          <w:rFonts w:ascii="Arial" w:eastAsia="Arial" w:hAnsi="Arial" w:cs="Arial"/>
          <w:sz w:val="24"/>
          <w:szCs w:val="24"/>
        </w:rPr>
        <w:t xml:space="preserve">El 91,1% de los ocupados en las 13 ciudades y áreas metropolitanas en el período marzo - mayo 2019 reportaron estar afiliados a seguridad social en salud, lo que significó una disminución de 1,3 puntos porcentuales frente al mismo periodo del año anterior (92,4%). </w:t>
      </w:r>
    </w:p>
    <w:p w:rsidR="00A82D64" w:rsidRDefault="007E62C7">
      <w:pPr>
        <w:jc w:val="both"/>
        <w:rPr>
          <w:rFonts w:ascii="Arial" w:eastAsia="Arial" w:hAnsi="Arial" w:cs="Arial"/>
          <w:sz w:val="24"/>
          <w:szCs w:val="24"/>
        </w:rPr>
      </w:pPr>
      <w:r>
        <w:rPr>
          <w:rFonts w:ascii="Arial" w:eastAsia="Arial" w:hAnsi="Arial" w:cs="Arial"/>
          <w:sz w:val="24"/>
          <w:szCs w:val="24"/>
        </w:rPr>
        <w:t>En cuanto a pensiones, la proporción de ocupados cotizantes fue 50,5% para el trimestre móvil marzo - mayo 2019. Para el trimestre móvil marzo – mayo 2018 esta proporción fue 50,1%.</w:t>
      </w:r>
    </w:p>
    <w:p w:rsidR="00A82D64" w:rsidRDefault="007E62C7">
      <w:pPr>
        <w:jc w:val="both"/>
        <w:rPr>
          <w:rFonts w:ascii="Arial" w:eastAsia="Arial" w:hAnsi="Arial" w:cs="Arial"/>
          <w:sz w:val="24"/>
          <w:szCs w:val="24"/>
        </w:rPr>
      </w:pPr>
      <w:r>
        <w:rPr>
          <w:rFonts w:ascii="Arial" w:eastAsia="Arial" w:hAnsi="Arial" w:cs="Arial"/>
          <w:sz w:val="24"/>
          <w:szCs w:val="24"/>
        </w:rPr>
        <w:t>Para las 13 ciudades y áreas metropolitanas, en el trimestre móvil marzo – mayo 2019, el 57,4% del total de la población ocupada pertenecía al régimen contributivo o especial como aportante. El 10,5% del total de la población ocupada pertenecía al régimen contributivo o especial como beneficiario y el 22,7% de los ocupados pertenecía al régimen subsidiado.</w:t>
      </w:r>
    </w:p>
    <w:p w:rsidR="00A82D64" w:rsidRDefault="00A82D64">
      <w:pPr>
        <w:jc w:val="both"/>
        <w:rPr>
          <w:rFonts w:ascii="Arial" w:eastAsia="Arial" w:hAnsi="Arial" w:cs="Arial"/>
          <w:sz w:val="24"/>
          <w:szCs w:val="24"/>
        </w:rPr>
      </w:pPr>
    </w:p>
    <w:p w:rsidR="00A82D64" w:rsidRDefault="007E62C7">
      <w:pPr>
        <w:numPr>
          <w:ilvl w:val="0"/>
          <w:numId w:val="1"/>
        </w:numPr>
        <w:spacing w:after="0"/>
        <w:ind w:hanging="360"/>
        <w:jc w:val="center"/>
        <w:rPr>
          <w:rFonts w:ascii="Arial" w:eastAsia="Arial" w:hAnsi="Arial" w:cs="Arial"/>
          <w:highlight w:val="white"/>
        </w:rPr>
      </w:pPr>
      <w:r>
        <w:rPr>
          <w:rFonts w:ascii="Arial" w:eastAsia="Arial" w:hAnsi="Arial" w:cs="Arial"/>
          <w:b/>
          <w:sz w:val="24"/>
          <w:szCs w:val="24"/>
        </w:rPr>
        <w:t>CONSTITUCIONALIDAD DEL PROYECTO.</w:t>
      </w:r>
    </w:p>
    <w:p w:rsidR="00A82D64" w:rsidRDefault="00A82D64">
      <w:pPr>
        <w:rPr>
          <w:rFonts w:ascii="Arial" w:eastAsia="Arial" w:hAnsi="Arial" w:cs="Arial"/>
          <w:sz w:val="24"/>
          <w:szCs w:val="24"/>
        </w:rPr>
      </w:pPr>
    </w:p>
    <w:p w:rsidR="00A82D64" w:rsidRDefault="007E62C7">
      <w:pPr>
        <w:jc w:val="both"/>
        <w:rPr>
          <w:rFonts w:ascii="Arial" w:eastAsia="Arial" w:hAnsi="Arial" w:cs="Arial"/>
          <w:sz w:val="24"/>
          <w:szCs w:val="24"/>
        </w:rPr>
      </w:pPr>
      <w:r>
        <w:rPr>
          <w:rFonts w:ascii="Arial" w:eastAsia="Arial" w:hAnsi="Arial" w:cs="Arial"/>
          <w:sz w:val="24"/>
          <w:szCs w:val="24"/>
        </w:rPr>
        <w:t>Encontramos  que la iniciativa legislativa se ciñe a la Constitución Política, la cual entre otros aspectos regula:</w:t>
      </w:r>
    </w:p>
    <w:p w:rsidR="00A82D64" w:rsidRDefault="007E62C7">
      <w:pPr>
        <w:jc w:val="both"/>
        <w:rPr>
          <w:rFonts w:ascii="Arial" w:eastAsia="Arial" w:hAnsi="Arial" w:cs="Arial"/>
          <w:sz w:val="24"/>
          <w:szCs w:val="24"/>
        </w:rPr>
      </w:pPr>
      <w:r>
        <w:rPr>
          <w:rFonts w:ascii="Arial" w:eastAsia="Arial" w:hAnsi="Arial" w:cs="Arial"/>
          <w:b/>
          <w:sz w:val="24"/>
          <w:szCs w:val="24"/>
        </w:rPr>
        <w:t>Trámite legislativo:</w:t>
      </w:r>
      <w:r>
        <w:rPr>
          <w:rFonts w:ascii="Arial" w:eastAsia="Arial" w:hAnsi="Arial" w:cs="Arial"/>
          <w:sz w:val="24"/>
          <w:szCs w:val="24"/>
        </w:rPr>
        <w:t xml:space="preserve"> Según el artículo 150 de la Constitución Política es facultad del Congreso hacer las leyes, por lo tanto, es competencia del ente legislativo atender asuntos como el propuesto en el proyecto de ley en desarrollo. Cumple además con el artículo 154, referentes a su origen y formalidades de unidad de materia, de esta manera encontramos que la competencia para este trámite es del Congreso de la República.</w:t>
      </w:r>
    </w:p>
    <w:p w:rsidR="00A82D64" w:rsidRDefault="007E62C7">
      <w:pPr>
        <w:jc w:val="both"/>
        <w:rPr>
          <w:rFonts w:ascii="Arial" w:eastAsia="Arial" w:hAnsi="Arial" w:cs="Arial"/>
          <w:sz w:val="24"/>
          <w:szCs w:val="24"/>
        </w:rPr>
      </w:pPr>
      <w:r>
        <w:rPr>
          <w:rFonts w:ascii="Arial" w:eastAsia="Arial" w:hAnsi="Arial" w:cs="Arial"/>
          <w:b/>
          <w:sz w:val="24"/>
          <w:szCs w:val="24"/>
        </w:rPr>
        <w:t xml:space="preserve">Legalidad del proyecto: </w:t>
      </w:r>
      <w:r>
        <w:rPr>
          <w:rFonts w:ascii="Arial" w:eastAsia="Arial" w:hAnsi="Arial" w:cs="Arial"/>
          <w:sz w:val="24"/>
          <w:szCs w:val="24"/>
        </w:rPr>
        <w:t>El proyecto objeto de ponencia cumple con los requisitos preceptuados en la Ley 5ª de 1992, así:</w:t>
      </w:r>
    </w:p>
    <w:p w:rsidR="00A82D64" w:rsidRDefault="007E62C7">
      <w:pPr>
        <w:spacing w:after="0"/>
        <w:jc w:val="both"/>
        <w:rPr>
          <w:rFonts w:ascii="Arial" w:eastAsia="Arial" w:hAnsi="Arial" w:cs="Arial"/>
          <w:sz w:val="24"/>
          <w:szCs w:val="24"/>
          <w:highlight w:val="white"/>
        </w:rPr>
      </w:pPr>
      <w:r>
        <w:rPr>
          <w:rFonts w:ascii="Arial" w:eastAsia="Arial" w:hAnsi="Arial" w:cs="Arial"/>
          <w:b/>
          <w:sz w:val="24"/>
          <w:szCs w:val="24"/>
        </w:rPr>
        <w:t>Iniciativa legislativa:</w:t>
      </w:r>
      <w:r>
        <w:rPr>
          <w:rFonts w:ascii="Arial" w:eastAsia="Arial" w:hAnsi="Arial" w:cs="Arial"/>
          <w:sz w:val="24"/>
          <w:szCs w:val="24"/>
        </w:rPr>
        <w:t xml:space="preserve"> El artículo 140.1 de la norma precitada otorga la facultad a “Los Senadores y Representantes a la Cámara individualmente y a través de las bancadas.”.</w:t>
      </w:r>
    </w:p>
    <w:p w:rsidR="00A82D64" w:rsidRDefault="00A82D64">
      <w:pPr>
        <w:spacing w:after="0"/>
        <w:jc w:val="both"/>
        <w:rPr>
          <w:rFonts w:ascii="Arial" w:eastAsia="Arial" w:hAnsi="Arial" w:cs="Arial"/>
          <w:b/>
          <w:sz w:val="24"/>
          <w:szCs w:val="24"/>
        </w:rPr>
      </w:pPr>
    </w:p>
    <w:p w:rsidR="00A82D64" w:rsidRDefault="007E62C7">
      <w:pPr>
        <w:spacing w:after="0"/>
        <w:jc w:val="both"/>
        <w:rPr>
          <w:rFonts w:ascii="Arial" w:eastAsia="Arial" w:hAnsi="Arial" w:cs="Arial"/>
          <w:sz w:val="24"/>
          <w:szCs w:val="24"/>
          <w:highlight w:val="white"/>
        </w:rPr>
      </w:pPr>
      <w:r>
        <w:rPr>
          <w:rFonts w:ascii="Arial" w:eastAsia="Arial" w:hAnsi="Arial" w:cs="Arial"/>
          <w:b/>
          <w:sz w:val="24"/>
          <w:szCs w:val="24"/>
        </w:rPr>
        <w:t>Contenido Constitucional:</w:t>
      </w:r>
      <w:r>
        <w:rPr>
          <w:rFonts w:ascii="Arial" w:eastAsia="Arial" w:hAnsi="Arial" w:cs="Arial"/>
          <w:sz w:val="24"/>
          <w:szCs w:val="24"/>
        </w:rPr>
        <w:t xml:space="preserve"> El proyecto se ajusta al Capítulo III de la Constitución Política de Colombia que trata “De las Leyes”, comprendido desde el artículo 150 y subsiguientes.</w:t>
      </w:r>
    </w:p>
    <w:p w:rsidR="00A82D64" w:rsidRDefault="00A82D64">
      <w:pPr>
        <w:spacing w:after="0"/>
        <w:ind w:left="720"/>
        <w:rPr>
          <w:rFonts w:ascii="Arial" w:eastAsia="Arial" w:hAnsi="Arial" w:cs="Arial"/>
          <w:b/>
          <w:sz w:val="24"/>
          <w:szCs w:val="24"/>
          <w:highlight w:val="white"/>
        </w:rPr>
      </w:pPr>
    </w:p>
    <w:p w:rsidR="00C460BE" w:rsidRDefault="00C460BE">
      <w:pPr>
        <w:spacing w:after="0"/>
        <w:ind w:left="720"/>
        <w:rPr>
          <w:rFonts w:ascii="Arial" w:eastAsia="Arial" w:hAnsi="Arial" w:cs="Arial"/>
          <w:b/>
          <w:sz w:val="24"/>
          <w:szCs w:val="24"/>
          <w:highlight w:val="white"/>
        </w:rPr>
      </w:pPr>
    </w:p>
    <w:p w:rsidR="00A82D64" w:rsidRDefault="007E62C7" w:rsidP="00C2214A">
      <w:pPr>
        <w:spacing w:after="0"/>
        <w:rPr>
          <w:rFonts w:ascii="Arial" w:eastAsia="Arial" w:hAnsi="Arial" w:cs="Arial"/>
          <w:b/>
          <w:sz w:val="24"/>
          <w:szCs w:val="24"/>
          <w:highlight w:val="white"/>
        </w:rPr>
      </w:pPr>
      <w:r>
        <w:rPr>
          <w:rFonts w:ascii="Arial" w:eastAsia="Arial" w:hAnsi="Arial" w:cs="Arial"/>
          <w:b/>
          <w:sz w:val="24"/>
          <w:szCs w:val="24"/>
          <w:highlight w:val="white"/>
        </w:rPr>
        <w:t xml:space="preserve">3.1 Normatividad </w:t>
      </w:r>
    </w:p>
    <w:p w:rsidR="00A82D64" w:rsidRDefault="00A82D64" w:rsidP="00C2214A">
      <w:pPr>
        <w:spacing w:after="0"/>
        <w:rPr>
          <w:rFonts w:ascii="Arial" w:eastAsia="Arial" w:hAnsi="Arial" w:cs="Arial"/>
          <w:b/>
          <w:sz w:val="24"/>
          <w:szCs w:val="24"/>
          <w:highlight w:val="white"/>
        </w:rPr>
      </w:pPr>
    </w:p>
    <w:p w:rsidR="00A82D64" w:rsidRDefault="007E62C7" w:rsidP="00C2214A">
      <w:pPr>
        <w:spacing w:after="0"/>
        <w:rPr>
          <w:rFonts w:ascii="Arial" w:eastAsia="Arial" w:hAnsi="Arial" w:cs="Arial"/>
          <w:b/>
          <w:sz w:val="24"/>
          <w:szCs w:val="24"/>
          <w:highlight w:val="white"/>
        </w:rPr>
      </w:pPr>
      <w:r>
        <w:rPr>
          <w:rFonts w:ascii="Arial" w:eastAsia="Arial" w:hAnsi="Arial" w:cs="Arial"/>
          <w:b/>
          <w:sz w:val="24"/>
          <w:szCs w:val="24"/>
          <w:highlight w:val="white"/>
        </w:rPr>
        <w:t>3.1.1 De Los</w:t>
      </w:r>
      <w:r>
        <w:rPr>
          <w:rFonts w:ascii="Arial" w:eastAsia="Arial" w:hAnsi="Arial" w:cs="Arial"/>
          <w:b/>
          <w:sz w:val="24"/>
          <w:szCs w:val="24"/>
        </w:rPr>
        <w:t xml:space="preserve"> Contratos De Prestación De Servicios Profesionales Y De Apoyo A La Gestión.</w:t>
      </w:r>
    </w:p>
    <w:p w:rsidR="00A82D64" w:rsidRDefault="00A82D64">
      <w:pPr>
        <w:spacing w:after="0"/>
        <w:jc w:val="both"/>
        <w:rPr>
          <w:rFonts w:ascii="Arial" w:eastAsia="Arial" w:hAnsi="Arial" w:cs="Arial"/>
          <w:sz w:val="24"/>
          <w:szCs w:val="24"/>
        </w:rPr>
      </w:pPr>
    </w:p>
    <w:p w:rsidR="00A82D64" w:rsidRDefault="007E62C7">
      <w:pPr>
        <w:spacing w:after="0"/>
        <w:jc w:val="both"/>
        <w:rPr>
          <w:rFonts w:ascii="Arial" w:eastAsia="Arial" w:hAnsi="Arial" w:cs="Arial"/>
          <w:sz w:val="24"/>
          <w:szCs w:val="24"/>
        </w:rPr>
      </w:pPr>
      <w:r>
        <w:rPr>
          <w:rFonts w:ascii="Arial" w:eastAsia="Arial" w:hAnsi="Arial" w:cs="Arial"/>
          <w:sz w:val="24"/>
          <w:szCs w:val="24"/>
        </w:rPr>
        <w:t>Los contratos de prestación de servicios profesionales y de apoyo a la gestión que celebran las Entidades Estatales se encuentran regulado</w:t>
      </w:r>
      <w:r w:rsidR="00C2214A">
        <w:rPr>
          <w:rFonts w:ascii="Arial" w:eastAsia="Arial" w:hAnsi="Arial" w:cs="Arial"/>
          <w:sz w:val="24"/>
          <w:szCs w:val="24"/>
        </w:rPr>
        <w:t>s</w:t>
      </w:r>
      <w:r>
        <w:rPr>
          <w:rFonts w:ascii="Arial" w:eastAsia="Arial" w:hAnsi="Arial" w:cs="Arial"/>
          <w:sz w:val="24"/>
          <w:szCs w:val="24"/>
        </w:rPr>
        <w:t xml:space="preserve"> por la Ley 80 de 1993, </w:t>
      </w:r>
      <w:r w:rsidR="005F3CCD">
        <w:rPr>
          <w:rFonts w:ascii="Arial" w:eastAsia="Arial" w:hAnsi="Arial" w:cs="Arial"/>
          <w:sz w:val="24"/>
          <w:szCs w:val="24"/>
        </w:rPr>
        <w:t>así</w:t>
      </w:r>
      <w:r>
        <w:rPr>
          <w:rFonts w:ascii="Arial" w:eastAsia="Arial" w:hAnsi="Arial" w:cs="Arial"/>
          <w:sz w:val="24"/>
          <w:szCs w:val="24"/>
        </w:rPr>
        <w:t xml:space="preserve">: </w:t>
      </w:r>
    </w:p>
    <w:p w:rsidR="00A82D64" w:rsidRDefault="00A82D64">
      <w:pPr>
        <w:spacing w:after="0"/>
        <w:jc w:val="both"/>
        <w:rPr>
          <w:rFonts w:ascii="Arial" w:eastAsia="Arial" w:hAnsi="Arial" w:cs="Arial"/>
          <w:sz w:val="24"/>
          <w:szCs w:val="24"/>
        </w:rPr>
      </w:pPr>
    </w:p>
    <w:p w:rsidR="00A82D64" w:rsidRDefault="007E62C7">
      <w:pPr>
        <w:spacing w:after="0"/>
        <w:ind w:left="850" w:right="1196"/>
        <w:jc w:val="both"/>
        <w:rPr>
          <w:rFonts w:ascii="Arial" w:eastAsia="Arial" w:hAnsi="Arial" w:cs="Arial"/>
          <w:sz w:val="20"/>
          <w:szCs w:val="20"/>
        </w:rPr>
      </w:pPr>
      <w:r>
        <w:rPr>
          <w:rFonts w:ascii="Arial" w:eastAsia="Arial" w:hAnsi="Arial" w:cs="Arial"/>
          <w:sz w:val="20"/>
          <w:szCs w:val="20"/>
        </w:rPr>
        <w:t xml:space="preserve">“ARTÍCULO 32. DE LOS CONTRATOS ESTATALES.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p w:rsidR="00A82D64" w:rsidRDefault="00A82D64">
      <w:pPr>
        <w:spacing w:after="0"/>
        <w:ind w:left="850" w:right="1196"/>
        <w:jc w:val="both"/>
        <w:rPr>
          <w:rFonts w:ascii="Arial" w:eastAsia="Arial" w:hAnsi="Arial" w:cs="Arial"/>
          <w:sz w:val="20"/>
          <w:szCs w:val="20"/>
        </w:rPr>
      </w:pPr>
    </w:p>
    <w:p w:rsidR="00A82D64" w:rsidRDefault="007E62C7">
      <w:pPr>
        <w:spacing w:after="0"/>
        <w:ind w:left="850" w:right="1196"/>
        <w:jc w:val="both"/>
        <w:rPr>
          <w:rFonts w:ascii="Arial" w:eastAsia="Arial" w:hAnsi="Arial" w:cs="Arial"/>
          <w:sz w:val="20"/>
          <w:szCs w:val="20"/>
        </w:rPr>
      </w:pPr>
      <w:r>
        <w:rPr>
          <w:rFonts w:ascii="Arial" w:eastAsia="Arial" w:hAnsi="Arial" w:cs="Arial"/>
          <w:sz w:val="20"/>
          <w:szCs w:val="20"/>
        </w:rPr>
        <w:t>(...)</w:t>
      </w:r>
    </w:p>
    <w:p w:rsidR="00A82D64" w:rsidRDefault="00A82D64">
      <w:pPr>
        <w:spacing w:after="0"/>
        <w:ind w:left="850" w:right="1196"/>
        <w:jc w:val="both"/>
        <w:rPr>
          <w:rFonts w:ascii="Arial" w:eastAsia="Arial" w:hAnsi="Arial" w:cs="Arial"/>
          <w:sz w:val="20"/>
          <w:szCs w:val="20"/>
        </w:rPr>
      </w:pPr>
    </w:p>
    <w:p w:rsidR="00A82D64" w:rsidRDefault="007E62C7">
      <w:pPr>
        <w:spacing w:after="0"/>
        <w:ind w:left="850" w:right="1196"/>
        <w:jc w:val="both"/>
        <w:rPr>
          <w:rFonts w:ascii="Arial" w:eastAsia="Arial" w:hAnsi="Arial" w:cs="Arial"/>
          <w:sz w:val="20"/>
          <w:szCs w:val="20"/>
        </w:rPr>
      </w:pPr>
      <w:r>
        <w:rPr>
          <w:rFonts w:ascii="Arial" w:eastAsia="Arial" w:hAnsi="Arial" w:cs="Arial"/>
          <w:sz w:val="20"/>
          <w:szCs w:val="20"/>
        </w:rPr>
        <w:t xml:space="preserve">“3. Contrato de prestación de servicios. </w:t>
      </w:r>
    </w:p>
    <w:p w:rsidR="00A82D64" w:rsidRDefault="007E62C7">
      <w:pPr>
        <w:spacing w:after="0"/>
        <w:ind w:left="850" w:right="1196"/>
        <w:jc w:val="both"/>
        <w:rPr>
          <w:rFonts w:ascii="Arial" w:eastAsia="Arial" w:hAnsi="Arial" w:cs="Arial"/>
          <w:sz w:val="20"/>
          <w:szCs w:val="20"/>
        </w:rPr>
      </w:pPr>
      <w:r>
        <w:rPr>
          <w:rFonts w:ascii="Arial" w:eastAsia="Arial" w:hAnsi="Arial" w:cs="Arial"/>
          <w:sz w:val="20"/>
          <w:szCs w:val="20"/>
        </w:rPr>
        <w:t xml:space="preserve"> </w:t>
      </w:r>
    </w:p>
    <w:p w:rsidR="00A82D64" w:rsidRDefault="007E62C7">
      <w:pPr>
        <w:spacing w:after="0"/>
        <w:ind w:left="850" w:right="1196"/>
        <w:jc w:val="both"/>
        <w:rPr>
          <w:rFonts w:ascii="Arial" w:eastAsia="Arial" w:hAnsi="Arial" w:cs="Arial"/>
          <w:sz w:val="20"/>
          <w:szCs w:val="20"/>
        </w:rPr>
      </w:pPr>
      <w:r>
        <w:rPr>
          <w:rFonts w:ascii="Arial" w:eastAsia="Arial" w:hAnsi="Arial" w:cs="Arial"/>
          <w:sz w:val="20"/>
          <w:szCs w:val="20"/>
        </w:rPr>
        <w:t xml:space="preserve">Son contratos de prestación de servicios los que celebren las entidades estatales para desarrollar actividades relacionadas con la administración o funcionamiento de la entidad. Estos contratos sólo podrán celebrarse con personas naturales o jurídicas cuando dichas actividades no puedan realizarse con personal de planta o requieran conocimientos especializados.  </w:t>
      </w:r>
    </w:p>
    <w:p w:rsidR="00A82D64" w:rsidRDefault="007E62C7">
      <w:pPr>
        <w:spacing w:after="0"/>
        <w:ind w:left="850" w:right="1196"/>
        <w:jc w:val="both"/>
        <w:rPr>
          <w:rFonts w:ascii="Arial" w:eastAsia="Arial" w:hAnsi="Arial" w:cs="Arial"/>
          <w:sz w:val="20"/>
          <w:szCs w:val="20"/>
        </w:rPr>
      </w:pPr>
      <w:r>
        <w:rPr>
          <w:rFonts w:ascii="Arial" w:eastAsia="Arial" w:hAnsi="Arial" w:cs="Arial"/>
          <w:sz w:val="20"/>
          <w:szCs w:val="20"/>
        </w:rPr>
        <w:t xml:space="preserve"> </w:t>
      </w:r>
    </w:p>
    <w:p w:rsidR="00A82D64" w:rsidRDefault="007E62C7">
      <w:pPr>
        <w:spacing w:after="0"/>
        <w:ind w:left="850" w:right="1196"/>
        <w:jc w:val="both"/>
        <w:rPr>
          <w:rFonts w:ascii="Arial" w:eastAsia="Arial" w:hAnsi="Arial" w:cs="Arial"/>
          <w:sz w:val="20"/>
          <w:szCs w:val="20"/>
        </w:rPr>
      </w:pPr>
      <w:r>
        <w:rPr>
          <w:rFonts w:ascii="Arial" w:eastAsia="Arial" w:hAnsi="Arial" w:cs="Arial"/>
          <w:sz w:val="20"/>
          <w:szCs w:val="20"/>
        </w:rPr>
        <w:t xml:space="preserve">Estos contratos no generan en ningún caso relación laboral ni prestaciones sociales. Los contratos a que se refiere este ordinal, se celebrarán por el término estrictamente indispensable.  </w:t>
      </w:r>
    </w:p>
    <w:p w:rsidR="00A82D64" w:rsidRDefault="007E62C7">
      <w:pPr>
        <w:spacing w:after="0"/>
        <w:ind w:left="850" w:right="1196"/>
        <w:jc w:val="both"/>
        <w:rPr>
          <w:rFonts w:ascii="Arial" w:eastAsia="Arial" w:hAnsi="Arial" w:cs="Arial"/>
          <w:sz w:val="20"/>
          <w:szCs w:val="20"/>
        </w:rPr>
      </w:pPr>
      <w:r>
        <w:rPr>
          <w:rFonts w:ascii="Arial" w:eastAsia="Arial" w:hAnsi="Arial" w:cs="Arial"/>
          <w:sz w:val="20"/>
          <w:szCs w:val="20"/>
        </w:rPr>
        <w:t xml:space="preserve"> </w:t>
      </w:r>
    </w:p>
    <w:p w:rsidR="00A82D64" w:rsidRDefault="007E62C7">
      <w:pPr>
        <w:spacing w:after="0"/>
        <w:ind w:left="850" w:right="1196"/>
        <w:jc w:val="both"/>
        <w:rPr>
          <w:rFonts w:ascii="Arial" w:eastAsia="Arial" w:hAnsi="Arial" w:cs="Arial"/>
          <w:sz w:val="20"/>
          <w:szCs w:val="20"/>
        </w:rPr>
      </w:pPr>
      <w:r>
        <w:rPr>
          <w:rFonts w:ascii="Arial" w:eastAsia="Arial" w:hAnsi="Arial" w:cs="Arial"/>
          <w:sz w:val="20"/>
          <w:szCs w:val="20"/>
        </w:rPr>
        <w:t>Parágrafo 1. A los contratos de consultoría, de prestación de servicios o de asesoría de cualquier clase, deberá anexarse certificación expedida por el jefe de la entidad, acerca de la inexistencia de personal de planta para desarrollar las actividades que se pretendan contratar”.</w:t>
      </w:r>
    </w:p>
    <w:p w:rsidR="00A82D64" w:rsidRDefault="00A82D64">
      <w:pPr>
        <w:spacing w:after="0"/>
        <w:ind w:left="850" w:right="1196"/>
        <w:jc w:val="both"/>
        <w:rPr>
          <w:rFonts w:ascii="Arial" w:eastAsia="Arial" w:hAnsi="Arial" w:cs="Arial"/>
          <w:sz w:val="20"/>
          <w:szCs w:val="20"/>
        </w:rPr>
      </w:pPr>
    </w:p>
    <w:p w:rsidR="00A82D64" w:rsidRDefault="007E62C7">
      <w:pPr>
        <w:spacing w:after="0"/>
        <w:ind w:left="850" w:right="1196"/>
        <w:jc w:val="both"/>
        <w:rPr>
          <w:rFonts w:ascii="Arial" w:eastAsia="Arial" w:hAnsi="Arial" w:cs="Arial"/>
          <w:sz w:val="20"/>
          <w:szCs w:val="20"/>
        </w:rPr>
      </w:pPr>
      <w:r>
        <w:rPr>
          <w:rFonts w:ascii="Arial" w:eastAsia="Arial" w:hAnsi="Arial" w:cs="Arial"/>
          <w:sz w:val="20"/>
          <w:szCs w:val="20"/>
        </w:rPr>
        <w:t>(...)”</w:t>
      </w:r>
    </w:p>
    <w:p w:rsidR="00A82D64" w:rsidRDefault="007E62C7">
      <w:pPr>
        <w:spacing w:after="0"/>
        <w:jc w:val="both"/>
        <w:rPr>
          <w:rFonts w:ascii="Arial" w:eastAsia="Arial" w:hAnsi="Arial" w:cs="Arial"/>
          <w:sz w:val="24"/>
          <w:szCs w:val="24"/>
        </w:rPr>
      </w:pPr>
      <w:r>
        <w:rPr>
          <w:rFonts w:ascii="Arial" w:eastAsia="Arial" w:hAnsi="Arial" w:cs="Arial"/>
          <w:sz w:val="24"/>
          <w:szCs w:val="24"/>
        </w:rPr>
        <w:t xml:space="preserve"> </w:t>
      </w:r>
    </w:p>
    <w:p w:rsidR="00A82D64" w:rsidRDefault="007E62C7">
      <w:pPr>
        <w:spacing w:after="0"/>
        <w:jc w:val="both"/>
        <w:rPr>
          <w:rFonts w:ascii="Arial" w:eastAsia="Arial" w:hAnsi="Arial" w:cs="Arial"/>
          <w:sz w:val="24"/>
          <w:szCs w:val="24"/>
        </w:rPr>
      </w:pPr>
      <w:r>
        <w:rPr>
          <w:rFonts w:ascii="Arial" w:eastAsia="Arial" w:hAnsi="Arial" w:cs="Arial"/>
          <w:sz w:val="24"/>
          <w:szCs w:val="24"/>
        </w:rPr>
        <w:lastRenderedPageBreak/>
        <w:t>Por su parte, la Ley 1150 de 2007 prevé la posibilidad de contratar directamente la prestación de servicios profesionales y de apoyo a la gestión en su artículo 2, sin embargo esta modalidad no debe ser usada para evadir la responsabilidad patronal cuando el objeto del contrato sea el ejercicio de funciones de carácter permanente o propias de la entidad,  las cuales debe desarrollar con el personal de planta vinculado de la entidad Estatal. Al respecto la norma reza:</w:t>
      </w:r>
    </w:p>
    <w:p w:rsidR="00A82D64" w:rsidRDefault="00A82D64">
      <w:pPr>
        <w:spacing w:after="0"/>
        <w:jc w:val="both"/>
        <w:rPr>
          <w:rFonts w:ascii="Arial" w:eastAsia="Arial" w:hAnsi="Arial" w:cs="Arial"/>
          <w:sz w:val="24"/>
          <w:szCs w:val="24"/>
        </w:rPr>
      </w:pPr>
    </w:p>
    <w:p w:rsidR="00A82D64" w:rsidRDefault="007E62C7">
      <w:pPr>
        <w:spacing w:after="0"/>
        <w:jc w:val="both"/>
        <w:rPr>
          <w:rFonts w:ascii="Arial" w:eastAsia="Arial" w:hAnsi="Arial" w:cs="Arial"/>
          <w:sz w:val="24"/>
          <w:szCs w:val="24"/>
        </w:rPr>
      </w:pPr>
      <w:r>
        <w:rPr>
          <w:rFonts w:ascii="Arial" w:eastAsia="Arial" w:hAnsi="Arial" w:cs="Arial"/>
          <w:b/>
          <w:sz w:val="24"/>
          <w:szCs w:val="24"/>
        </w:rPr>
        <w:t>Artículo 2°.</w:t>
      </w:r>
      <w:r>
        <w:rPr>
          <w:rFonts w:ascii="Arial" w:eastAsia="Arial" w:hAnsi="Arial" w:cs="Arial"/>
          <w:i/>
          <w:sz w:val="24"/>
          <w:szCs w:val="24"/>
        </w:rPr>
        <w:t xml:space="preserve">De las modalidades de selección. </w:t>
      </w:r>
      <w:r>
        <w:rPr>
          <w:rFonts w:ascii="Arial" w:eastAsia="Arial" w:hAnsi="Arial" w:cs="Arial"/>
          <w:sz w:val="24"/>
          <w:szCs w:val="24"/>
        </w:rPr>
        <w:t xml:space="preserve">La escogencia del contratista se efectuará con arreglo a las modalidades de selección de licitación pública, selección abreviada, concurso de méritos y contratación directa, con base en las siguientes reglas: </w:t>
      </w:r>
    </w:p>
    <w:p w:rsidR="00A82D64" w:rsidRDefault="00A82D64">
      <w:pPr>
        <w:spacing w:after="0"/>
        <w:jc w:val="both"/>
        <w:rPr>
          <w:rFonts w:ascii="Arial" w:eastAsia="Arial" w:hAnsi="Arial" w:cs="Arial"/>
          <w:sz w:val="24"/>
          <w:szCs w:val="24"/>
        </w:rPr>
      </w:pPr>
    </w:p>
    <w:p w:rsidR="00A82D64" w:rsidRDefault="007E62C7">
      <w:pPr>
        <w:spacing w:after="0"/>
        <w:ind w:left="850" w:right="1196"/>
        <w:jc w:val="both"/>
        <w:rPr>
          <w:rFonts w:ascii="Arial" w:eastAsia="Arial" w:hAnsi="Arial" w:cs="Arial"/>
          <w:sz w:val="20"/>
          <w:szCs w:val="20"/>
        </w:rPr>
      </w:pPr>
      <w:r>
        <w:rPr>
          <w:rFonts w:ascii="Arial" w:eastAsia="Arial" w:hAnsi="Arial" w:cs="Arial"/>
          <w:sz w:val="20"/>
          <w:szCs w:val="20"/>
        </w:rPr>
        <w:t>“(...)</w:t>
      </w:r>
    </w:p>
    <w:p w:rsidR="00A82D64" w:rsidRDefault="00A82D64">
      <w:pPr>
        <w:spacing w:after="0"/>
        <w:ind w:left="850" w:right="1196"/>
        <w:jc w:val="both"/>
        <w:rPr>
          <w:rFonts w:ascii="Arial" w:eastAsia="Arial" w:hAnsi="Arial" w:cs="Arial"/>
          <w:sz w:val="20"/>
          <w:szCs w:val="20"/>
        </w:rPr>
      </w:pPr>
    </w:p>
    <w:p w:rsidR="00A82D64" w:rsidRDefault="007E62C7">
      <w:pPr>
        <w:spacing w:after="0"/>
        <w:ind w:left="850" w:right="1196"/>
        <w:jc w:val="both"/>
        <w:rPr>
          <w:rFonts w:ascii="Arial" w:eastAsia="Arial" w:hAnsi="Arial" w:cs="Arial"/>
          <w:sz w:val="20"/>
          <w:szCs w:val="20"/>
        </w:rPr>
      </w:pPr>
      <w:r>
        <w:rPr>
          <w:rFonts w:ascii="Arial" w:eastAsia="Arial" w:hAnsi="Arial" w:cs="Arial"/>
          <w:sz w:val="20"/>
          <w:szCs w:val="20"/>
        </w:rPr>
        <w:t xml:space="preserve">4. </w:t>
      </w:r>
      <w:r>
        <w:rPr>
          <w:rFonts w:ascii="Arial" w:eastAsia="Arial" w:hAnsi="Arial" w:cs="Arial"/>
          <w:b/>
          <w:sz w:val="20"/>
          <w:szCs w:val="20"/>
        </w:rPr>
        <w:t xml:space="preserve">Contratación directa. </w:t>
      </w:r>
      <w:r>
        <w:rPr>
          <w:rFonts w:ascii="Arial" w:eastAsia="Arial" w:hAnsi="Arial" w:cs="Arial"/>
          <w:sz w:val="20"/>
          <w:szCs w:val="20"/>
        </w:rPr>
        <w:t xml:space="preserve">La modalidad de selección de contratación directa, solamente procederá en los siguientes casos: </w:t>
      </w:r>
    </w:p>
    <w:p w:rsidR="00A82D64" w:rsidRDefault="00A82D64">
      <w:pPr>
        <w:spacing w:after="0"/>
        <w:ind w:left="850" w:right="1196"/>
        <w:jc w:val="both"/>
        <w:rPr>
          <w:rFonts w:ascii="Arial" w:eastAsia="Arial" w:hAnsi="Arial" w:cs="Arial"/>
          <w:sz w:val="20"/>
          <w:szCs w:val="20"/>
        </w:rPr>
      </w:pPr>
    </w:p>
    <w:p w:rsidR="00A82D64" w:rsidRDefault="007E62C7">
      <w:pPr>
        <w:spacing w:after="0"/>
        <w:ind w:left="850" w:right="1196"/>
        <w:jc w:val="both"/>
        <w:rPr>
          <w:rFonts w:ascii="Arial" w:eastAsia="Arial" w:hAnsi="Arial" w:cs="Arial"/>
          <w:sz w:val="20"/>
          <w:szCs w:val="20"/>
        </w:rPr>
      </w:pPr>
      <w:r>
        <w:rPr>
          <w:rFonts w:ascii="Arial" w:eastAsia="Arial" w:hAnsi="Arial" w:cs="Arial"/>
          <w:sz w:val="20"/>
          <w:szCs w:val="20"/>
        </w:rPr>
        <w:t>(...)</w:t>
      </w:r>
    </w:p>
    <w:p w:rsidR="00A82D64" w:rsidRDefault="00A82D64">
      <w:pPr>
        <w:spacing w:after="0"/>
        <w:ind w:left="850" w:right="1196"/>
        <w:jc w:val="both"/>
        <w:rPr>
          <w:rFonts w:ascii="Arial" w:eastAsia="Arial" w:hAnsi="Arial" w:cs="Arial"/>
          <w:sz w:val="20"/>
          <w:szCs w:val="20"/>
        </w:rPr>
      </w:pPr>
    </w:p>
    <w:p w:rsidR="00A82D64" w:rsidRDefault="007E62C7">
      <w:pPr>
        <w:spacing w:after="0"/>
        <w:ind w:left="850" w:right="1196"/>
        <w:jc w:val="both"/>
        <w:rPr>
          <w:rFonts w:ascii="Arial" w:eastAsia="Arial" w:hAnsi="Arial" w:cs="Arial"/>
          <w:sz w:val="20"/>
          <w:szCs w:val="20"/>
        </w:rPr>
      </w:pPr>
      <w:r>
        <w:rPr>
          <w:rFonts w:ascii="Arial" w:eastAsia="Arial" w:hAnsi="Arial" w:cs="Arial"/>
          <w:sz w:val="20"/>
          <w:szCs w:val="20"/>
        </w:rPr>
        <w:t xml:space="preserve">h) Para la prestación de servicios profesionales y de apoyo a la gestión, o para la ejecución de trabajos artísticos que sólo puedan encomendarse a determinadas personas naturales; </w:t>
      </w:r>
    </w:p>
    <w:p w:rsidR="00A82D64" w:rsidRDefault="00A82D64">
      <w:pPr>
        <w:spacing w:after="0"/>
        <w:ind w:left="850" w:right="1196"/>
        <w:jc w:val="both"/>
        <w:rPr>
          <w:rFonts w:ascii="Arial" w:eastAsia="Arial" w:hAnsi="Arial" w:cs="Arial"/>
          <w:sz w:val="20"/>
          <w:szCs w:val="20"/>
        </w:rPr>
      </w:pPr>
    </w:p>
    <w:p w:rsidR="00A82D64" w:rsidRDefault="007E62C7">
      <w:pPr>
        <w:spacing w:after="0"/>
        <w:ind w:left="850" w:right="1196"/>
        <w:jc w:val="both"/>
        <w:rPr>
          <w:rFonts w:ascii="Arial" w:eastAsia="Arial" w:hAnsi="Arial" w:cs="Arial"/>
          <w:sz w:val="20"/>
          <w:szCs w:val="20"/>
        </w:rPr>
      </w:pPr>
      <w:r>
        <w:rPr>
          <w:rFonts w:ascii="Arial" w:eastAsia="Arial" w:hAnsi="Arial" w:cs="Arial"/>
          <w:sz w:val="20"/>
          <w:szCs w:val="20"/>
        </w:rPr>
        <w:t>(...)”</w:t>
      </w:r>
    </w:p>
    <w:p w:rsidR="00A82D64" w:rsidRDefault="00A82D64">
      <w:pPr>
        <w:spacing w:after="0"/>
        <w:jc w:val="both"/>
        <w:rPr>
          <w:rFonts w:ascii="Arial" w:eastAsia="Arial" w:hAnsi="Arial" w:cs="Arial"/>
          <w:sz w:val="24"/>
          <w:szCs w:val="24"/>
        </w:rPr>
      </w:pPr>
    </w:p>
    <w:p w:rsidR="00A82D64" w:rsidRDefault="007E62C7">
      <w:pPr>
        <w:spacing w:after="0"/>
        <w:jc w:val="both"/>
        <w:rPr>
          <w:rFonts w:ascii="Arial" w:eastAsia="Arial" w:hAnsi="Arial" w:cs="Arial"/>
          <w:sz w:val="24"/>
          <w:szCs w:val="24"/>
        </w:rPr>
      </w:pPr>
      <w:r>
        <w:rPr>
          <w:rFonts w:ascii="Arial" w:eastAsia="Arial" w:hAnsi="Arial" w:cs="Arial"/>
          <w:sz w:val="24"/>
          <w:szCs w:val="24"/>
        </w:rPr>
        <w:t>El artículo 2.2.1.2.1.4.9 del Decreto 1082 de 2015, define este tipo de contratos de la siguiente manera:</w:t>
      </w:r>
    </w:p>
    <w:p w:rsidR="00A82D64" w:rsidRDefault="00A82D64">
      <w:pPr>
        <w:spacing w:after="0"/>
        <w:jc w:val="both"/>
        <w:rPr>
          <w:rFonts w:ascii="Arial" w:eastAsia="Arial" w:hAnsi="Arial" w:cs="Arial"/>
          <w:sz w:val="24"/>
          <w:szCs w:val="24"/>
        </w:rPr>
      </w:pPr>
    </w:p>
    <w:p w:rsidR="00A82D64" w:rsidRDefault="007E62C7">
      <w:pPr>
        <w:spacing w:after="0"/>
        <w:jc w:val="both"/>
        <w:rPr>
          <w:rFonts w:ascii="Arial" w:eastAsia="Arial" w:hAnsi="Arial" w:cs="Arial"/>
          <w:sz w:val="24"/>
          <w:szCs w:val="24"/>
        </w:rPr>
      </w:pPr>
      <w:r>
        <w:rPr>
          <w:rFonts w:ascii="Arial" w:eastAsia="Arial" w:hAnsi="Arial" w:cs="Arial"/>
          <w:sz w:val="24"/>
          <w:szCs w:val="24"/>
        </w:rPr>
        <w:t>“(...)</w:t>
      </w:r>
    </w:p>
    <w:p w:rsidR="00A82D64" w:rsidRDefault="007E62C7">
      <w:pPr>
        <w:pBdr>
          <w:top w:val="nil"/>
          <w:left w:val="nil"/>
          <w:bottom w:val="nil"/>
          <w:right w:val="nil"/>
          <w:between w:val="nil"/>
        </w:pBdr>
        <w:spacing w:after="0"/>
        <w:ind w:left="850" w:right="1196"/>
        <w:jc w:val="both"/>
        <w:rPr>
          <w:rFonts w:ascii="Arial" w:eastAsia="Arial" w:hAnsi="Arial" w:cs="Arial"/>
          <w:sz w:val="20"/>
          <w:szCs w:val="20"/>
        </w:rPr>
      </w:pPr>
      <w:r>
        <w:rPr>
          <w:rFonts w:ascii="Arial" w:eastAsia="Arial" w:hAnsi="Arial" w:cs="Arial"/>
          <w:sz w:val="20"/>
          <w:szCs w:val="20"/>
        </w:rPr>
        <w:t xml:space="preserve">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 </w:t>
      </w:r>
    </w:p>
    <w:p w:rsidR="00A82D64" w:rsidRDefault="007E62C7">
      <w:pPr>
        <w:pBdr>
          <w:top w:val="nil"/>
          <w:left w:val="nil"/>
          <w:bottom w:val="nil"/>
          <w:right w:val="nil"/>
          <w:between w:val="nil"/>
        </w:pBdr>
        <w:spacing w:after="0"/>
        <w:ind w:left="850" w:right="1196"/>
        <w:jc w:val="both"/>
        <w:rPr>
          <w:rFonts w:ascii="Arial" w:eastAsia="Arial" w:hAnsi="Arial" w:cs="Arial"/>
          <w:sz w:val="20"/>
          <w:szCs w:val="20"/>
        </w:rPr>
      </w:pPr>
      <w:r>
        <w:rPr>
          <w:rFonts w:ascii="Arial" w:eastAsia="Arial" w:hAnsi="Arial" w:cs="Arial"/>
          <w:sz w:val="20"/>
          <w:szCs w:val="20"/>
        </w:rPr>
        <w:t xml:space="preserve">  </w:t>
      </w:r>
    </w:p>
    <w:p w:rsidR="00A82D64" w:rsidRDefault="007E62C7">
      <w:pPr>
        <w:pBdr>
          <w:top w:val="nil"/>
          <w:left w:val="nil"/>
          <w:bottom w:val="nil"/>
          <w:right w:val="nil"/>
          <w:between w:val="nil"/>
        </w:pBdr>
        <w:spacing w:after="0"/>
        <w:ind w:left="850" w:right="1196"/>
        <w:jc w:val="both"/>
        <w:rPr>
          <w:rFonts w:ascii="Arial" w:eastAsia="Arial" w:hAnsi="Arial" w:cs="Arial"/>
          <w:sz w:val="20"/>
          <w:szCs w:val="20"/>
        </w:rPr>
      </w:pPr>
      <w:r>
        <w:rPr>
          <w:rFonts w:ascii="Arial" w:eastAsia="Arial" w:hAnsi="Arial" w:cs="Arial"/>
          <w:sz w:val="20"/>
          <w:szCs w:val="20"/>
        </w:rPr>
        <w:t xml:space="preserve">Los servicios profesionales y de apoyo a la gestión corresponden a aquellos de naturaleza intelectual diferentes a los de consultoría que se derivan del </w:t>
      </w:r>
      <w:r>
        <w:rPr>
          <w:rFonts w:ascii="Arial" w:eastAsia="Arial" w:hAnsi="Arial" w:cs="Arial"/>
          <w:sz w:val="20"/>
          <w:szCs w:val="20"/>
        </w:rPr>
        <w:lastRenderedPageBreak/>
        <w:t xml:space="preserve">cumplimiento de las funciones de la Entidad Estatal, así como los relacionados con actividades operativas, logísticas, o asistenciales. </w:t>
      </w:r>
    </w:p>
    <w:p w:rsidR="00A82D64" w:rsidRDefault="007E62C7">
      <w:pPr>
        <w:pBdr>
          <w:top w:val="nil"/>
          <w:left w:val="nil"/>
          <w:bottom w:val="nil"/>
          <w:right w:val="nil"/>
          <w:between w:val="nil"/>
        </w:pBdr>
        <w:spacing w:after="0"/>
        <w:ind w:left="850" w:right="1196"/>
        <w:jc w:val="both"/>
        <w:rPr>
          <w:rFonts w:ascii="Arial" w:eastAsia="Arial" w:hAnsi="Arial" w:cs="Arial"/>
          <w:sz w:val="20"/>
          <w:szCs w:val="20"/>
        </w:rPr>
      </w:pPr>
      <w:r>
        <w:rPr>
          <w:rFonts w:ascii="Arial" w:eastAsia="Arial" w:hAnsi="Arial" w:cs="Arial"/>
          <w:sz w:val="20"/>
          <w:szCs w:val="20"/>
        </w:rPr>
        <w:t xml:space="preserve">  </w:t>
      </w:r>
    </w:p>
    <w:p w:rsidR="00A82D64" w:rsidRDefault="007E62C7">
      <w:pPr>
        <w:pBdr>
          <w:top w:val="nil"/>
          <w:left w:val="nil"/>
          <w:bottom w:val="nil"/>
          <w:right w:val="nil"/>
          <w:between w:val="nil"/>
        </w:pBdr>
        <w:spacing w:after="0"/>
        <w:ind w:left="850" w:right="1196"/>
        <w:jc w:val="both"/>
        <w:rPr>
          <w:rFonts w:ascii="Arial" w:eastAsia="Arial" w:hAnsi="Arial" w:cs="Arial"/>
          <w:sz w:val="20"/>
          <w:szCs w:val="20"/>
        </w:rPr>
      </w:pPr>
      <w:r>
        <w:rPr>
          <w:rFonts w:ascii="Arial" w:eastAsia="Arial" w:hAnsi="Arial" w:cs="Arial"/>
          <w:sz w:val="20"/>
          <w:szCs w:val="20"/>
        </w:rPr>
        <w:t>La Entidad Estatal, para la contratación de trabajos artísticos que solamente puedan encomendarse a determinadas personas naturales, debe justificar esta situación en los estudios y documentos previos.</w:t>
      </w:r>
    </w:p>
    <w:p w:rsidR="00A82D64" w:rsidRDefault="00A82D64">
      <w:pPr>
        <w:pBdr>
          <w:top w:val="nil"/>
          <w:left w:val="nil"/>
          <w:bottom w:val="nil"/>
          <w:right w:val="nil"/>
          <w:between w:val="nil"/>
        </w:pBdr>
        <w:spacing w:after="0"/>
        <w:ind w:left="850" w:right="1196"/>
        <w:jc w:val="both"/>
        <w:rPr>
          <w:rFonts w:ascii="Arial" w:eastAsia="Arial" w:hAnsi="Arial" w:cs="Arial"/>
          <w:sz w:val="20"/>
          <w:szCs w:val="20"/>
        </w:rPr>
      </w:pPr>
    </w:p>
    <w:p w:rsidR="00A82D64" w:rsidRDefault="007E62C7">
      <w:pPr>
        <w:pBdr>
          <w:top w:val="nil"/>
          <w:left w:val="nil"/>
          <w:bottom w:val="nil"/>
          <w:right w:val="nil"/>
          <w:between w:val="nil"/>
        </w:pBdr>
        <w:spacing w:after="0"/>
        <w:ind w:left="850" w:right="1196"/>
        <w:jc w:val="both"/>
        <w:rPr>
          <w:rFonts w:ascii="Arial" w:eastAsia="Arial" w:hAnsi="Arial" w:cs="Arial"/>
          <w:sz w:val="20"/>
          <w:szCs w:val="20"/>
        </w:rPr>
      </w:pPr>
      <w:r>
        <w:rPr>
          <w:rFonts w:ascii="Arial" w:eastAsia="Arial" w:hAnsi="Arial" w:cs="Arial"/>
          <w:sz w:val="20"/>
          <w:szCs w:val="20"/>
        </w:rPr>
        <w:t>“(...)</w:t>
      </w:r>
    </w:p>
    <w:p w:rsidR="00A82D64" w:rsidRDefault="00A82D64">
      <w:pPr>
        <w:spacing w:after="0"/>
        <w:jc w:val="both"/>
        <w:rPr>
          <w:rFonts w:ascii="Arial" w:eastAsia="Arial" w:hAnsi="Arial" w:cs="Arial"/>
          <w:sz w:val="24"/>
          <w:szCs w:val="24"/>
        </w:rPr>
      </w:pPr>
    </w:p>
    <w:p w:rsidR="005F3CCD" w:rsidRDefault="005F3CCD">
      <w:pPr>
        <w:spacing w:after="0"/>
        <w:jc w:val="both"/>
        <w:rPr>
          <w:rFonts w:ascii="Arial" w:eastAsia="Arial" w:hAnsi="Arial" w:cs="Arial"/>
          <w:sz w:val="24"/>
          <w:szCs w:val="24"/>
        </w:rPr>
      </w:pPr>
    </w:p>
    <w:p w:rsidR="00A57FCF" w:rsidRDefault="00A57FCF">
      <w:pPr>
        <w:spacing w:after="0"/>
        <w:jc w:val="both"/>
        <w:rPr>
          <w:rFonts w:ascii="Arial" w:eastAsia="Arial" w:hAnsi="Arial" w:cs="Arial"/>
          <w:sz w:val="24"/>
          <w:szCs w:val="24"/>
        </w:rPr>
      </w:pPr>
      <w:r>
        <w:rPr>
          <w:rFonts w:ascii="Arial" w:eastAsia="Arial" w:hAnsi="Arial" w:cs="Arial"/>
          <w:sz w:val="24"/>
          <w:szCs w:val="24"/>
        </w:rPr>
        <w:t>El numeral 10º del artículo 4 de ley 80 de 1993 establece el respeto de los turnos para pago de la siguiente manera:</w:t>
      </w:r>
    </w:p>
    <w:p w:rsidR="00A57FCF" w:rsidRDefault="00A57FCF">
      <w:pPr>
        <w:spacing w:after="0"/>
        <w:jc w:val="both"/>
        <w:rPr>
          <w:rFonts w:ascii="Arial" w:eastAsia="Arial" w:hAnsi="Arial" w:cs="Arial"/>
          <w:sz w:val="24"/>
          <w:szCs w:val="24"/>
        </w:rPr>
      </w:pPr>
    </w:p>
    <w:p w:rsidR="005F3CCD" w:rsidRDefault="00A57FCF">
      <w:pPr>
        <w:spacing w:after="0"/>
        <w:jc w:val="both"/>
        <w:rPr>
          <w:rFonts w:ascii="Arial" w:eastAsia="Arial" w:hAnsi="Arial" w:cs="Arial"/>
          <w:sz w:val="24"/>
          <w:szCs w:val="24"/>
        </w:rPr>
      </w:pPr>
      <w:r>
        <w:rPr>
          <w:rFonts w:ascii="Arial" w:eastAsia="Arial" w:hAnsi="Arial" w:cs="Arial"/>
          <w:sz w:val="24"/>
          <w:szCs w:val="24"/>
        </w:rPr>
        <w:t xml:space="preserve"> </w:t>
      </w:r>
      <w:r>
        <w:rPr>
          <w:rStyle w:val="Textoennegrita"/>
          <w:rFonts w:ascii="Arial" w:hAnsi="Arial" w:cs="Arial"/>
          <w:color w:val="000000"/>
          <w:sz w:val="20"/>
          <w:szCs w:val="20"/>
        </w:rPr>
        <w:t>ARTICULO 4o. DE LOS DERECHOS Y DEBERES DE LAS ENTIDADES ESTATALES. </w:t>
      </w:r>
      <w:r>
        <w:rPr>
          <w:rFonts w:ascii="Arial" w:hAnsi="Arial" w:cs="Arial"/>
          <w:color w:val="000000"/>
          <w:sz w:val="20"/>
          <w:szCs w:val="20"/>
        </w:rPr>
        <w:t>Para la consecución de los fines de que trata el artículo anterior, las entidades estatales: </w:t>
      </w:r>
    </w:p>
    <w:p w:rsidR="00A57FCF" w:rsidRDefault="00A57FCF">
      <w:pPr>
        <w:spacing w:after="0"/>
        <w:ind w:left="720"/>
        <w:rPr>
          <w:rFonts w:ascii="Arial" w:eastAsia="Arial" w:hAnsi="Arial" w:cs="Arial"/>
          <w:b/>
          <w:sz w:val="24"/>
          <w:szCs w:val="24"/>
          <w:highlight w:val="white"/>
        </w:rPr>
      </w:pPr>
    </w:p>
    <w:p w:rsidR="00A57FCF" w:rsidRDefault="00A57FCF" w:rsidP="00A57FCF">
      <w:pPr>
        <w:pBdr>
          <w:top w:val="nil"/>
          <w:left w:val="nil"/>
          <w:bottom w:val="nil"/>
          <w:right w:val="nil"/>
          <w:between w:val="nil"/>
        </w:pBdr>
        <w:spacing w:after="0"/>
        <w:ind w:left="850" w:right="1196"/>
        <w:jc w:val="both"/>
        <w:rPr>
          <w:rFonts w:ascii="Arial" w:eastAsia="Arial" w:hAnsi="Arial" w:cs="Arial"/>
          <w:sz w:val="20"/>
          <w:szCs w:val="20"/>
        </w:rPr>
      </w:pPr>
    </w:p>
    <w:p w:rsidR="00A57FCF" w:rsidRDefault="00A57FCF" w:rsidP="00A57FCF">
      <w:pPr>
        <w:spacing w:after="0"/>
        <w:jc w:val="both"/>
        <w:rPr>
          <w:rFonts w:ascii="Arial" w:eastAsia="Arial" w:hAnsi="Arial" w:cs="Arial"/>
          <w:sz w:val="24"/>
          <w:szCs w:val="24"/>
        </w:rPr>
      </w:pPr>
      <w:r>
        <w:rPr>
          <w:rFonts w:ascii="Arial" w:eastAsia="Arial" w:hAnsi="Arial" w:cs="Arial"/>
          <w:sz w:val="24"/>
          <w:szCs w:val="24"/>
        </w:rPr>
        <w:t>“(...)</w:t>
      </w:r>
    </w:p>
    <w:p w:rsidR="00A57FCF" w:rsidRDefault="00A57FCF" w:rsidP="00A57FCF">
      <w:pPr>
        <w:pBdr>
          <w:top w:val="nil"/>
          <w:left w:val="nil"/>
          <w:bottom w:val="nil"/>
          <w:right w:val="nil"/>
          <w:between w:val="nil"/>
        </w:pBdr>
        <w:spacing w:after="0"/>
        <w:ind w:left="850" w:right="1196"/>
        <w:jc w:val="both"/>
        <w:rPr>
          <w:rFonts w:ascii="Arial" w:eastAsia="Arial" w:hAnsi="Arial" w:cs="Arial"/>
          <w:sz w:val="20"/>
          <w:szCs w:val="20"/>
        </w:rPr>
      </w:pPr>
    </w:p>
    <w:p w:rsidR="00A57FCF" w:rsidRPr="00A57FCF" w:rsidRDefault="00A57FCF" w:rsidP="00A57FCF">
      <w:pPr>
        <w:pBdr>
          <w:top w:val="nil"/>
          <w:left w:val="nil"/>
          <w:bottom w:val="nil"/>
          <w:right w:val="nil"/>
          <w:between w:val="nil"/>
        </w:pBdr>
        <w:spacing w:after="0"/>
        <w:ind w:left="850" w:right="1196"/>
        <w:jc w:val="both"/>
        <w:rPr>
          <w:rFonts w:ascii="Arial" w:eastAsia="Arial" w:hAnsi="Arial" w:cs="Arial"/>
          <w:sz w:val="20"/>
          <w:szCs w:val="20"/>
        </w:rPr>
      </w:pPr>
      <w:r w:rsidRPr="00A57FCF">
        <w:rPr>
          <w:rFonts w:ascii="Arial" w:eastAsia="Arial" w:hAnsi="Arial" w:cs="Arial"/>
          <w:sz w:val="20"/>
          <w:szCs w:val="20"/>
        </w:rPr>
        <w:t>10°. Respetarán el orden de presentación de los pagos por parte de los contratistas. Sólo por razones de interés público, el jefe de la entidad podrá modificar dicho orden dejando constancia de tal actuación.  </w:t>
      </w:r>
    </w:p>
    <w:p w:rsidR="00A57FCF" w:rsidRPr="00A57FCF" w:rsidRDefault="00A57FCF" w:rsidP="00A57FCF">
      <w:pPr>
        <w:pBdr>
          <w:top w:val="nil"/>
          <w:left w:val="nil"/>
          <w:bottom w:val="nil"/>
          <w:right w:val="nil"/>
          <w:between w:val="nil"/>
        </w:pBdr>
        <w:spacing w:after="0"/>
        <w:ind w:left="850" w:right="1196"/>
        <w:jc w:val="both"/>
        <w:rPr>
          <w:rFonts w:ascii="Arial" w:eastAsia="Arial" w:hAnsi="Arial" w:cs="Arial"/>
          <w:sz w:val="20"/>
          <w:szCs w:val="20"/>
        </w:rPr>
      </w:pPr>
      <w:r w:rsidRPr="00A57FCF">
        <w:rPr>
          <w:rFonts w:ascii="Arial" w:eastAsia="Arial" w:hAnsi="Arial" w:cs="Arial"/>
          <w:sz w:val="20"/>
          <w:szCs w:val="20"/>
        </w:rPr>
        <w:t> </w:t>
      </w:r>
    </w:p>
    <w:p w:rsidR="00A57FCF" w:rsidRPr="00A57FCF" w:rsidRDefault="00A57FCF" w:rsidP="00A57FCF">
      <w:pPr>
        <w:pBdr>
          <w:top w:val="nil"/>
          <w:left w:val="nil"/>
          <w:bottom w:val="nil"/>
          <w:right w:val="nil"/>
          <w:between w:val="nil"/>
        </w:pBdr>
        <w:spacing w:after="0"/>
        <w:ind w:left="850" w:right="1196"/>
        <w:jc w:val="both"/>
        <w:rPr>
          <w:rFonts w:ascii="Arial" w:eastAsia="Arial" w:hAnsi="Arial" w:cs="Arial"/>
          <w:sz w:val="20"/>
          <w:szCs w:val="20"/>
        </w:rPr>
      </w:pPr>
      <w:r w:rsidRPr="00A57FCF">
        <w:rPr>
          <w:rFonts w:ascii="Arial" w:eastAsia="Arial" w:hAnsi="Arial" w:cs="Arial"/>
          <w:sz w:val="20"/>
          <w:szCs w:val="20"/>
        </w:rPr>
        <w:t>Para el efecto, las entidades deben llevar un registro de presentación por parte de los contratistas, de los documentos requeridos para hacer efectivos los pagos derivados de los contratos, de tal manera que estos puedan verificar el estricto respeto al derecho de turno. Dicho registro será público.  </w:t>
      </w:r>
    </w:p>
    <w:p w:rsidR="00A57FCF" w:rsidRPr="00A57FCF" w:rsidRDefault="00A57FCF" w:rsidP="00A57FCF">
      <w:pPr>
        <w:pBdr>
          <w:top w:val="nil"/>
          <w:left w:val="nil"/>
          <w:bottom w:val="nil"/>
          <w:right w:val="nil"/>
          <w:between w:val="nil"/>
        </w:pBdr>
        <w:spacing w:after="0"/>
        <w:ind w:left="850" w:right="1196"/>
        <w:jc w:val="both"/>
        <w:rPr>
          <w:rFonts w:ascii="Arial" w:eastAsia="Arial" w:hAnsi="Arial" w:cs="Arial"/>
          <w:sz w:val="20"/>
          <w:szCs w:val="20"/>
        </w:rPr>
      </w:pPr>
      <w:r w:rsidRPr="00A57FCF">
        <w:rPr>
          <w:rFonts w:ascii="Arial" w:eastAsia="Arial" w:hAnsi="Arial" w:cs="Arial"/>
          <w:sz w:val="20"/>
          <w:szCs w:val="20"/>
        </w:rPr>
        <w:t> </w:t>
      </w:r>
    </w:p>
    <w:p w:rsidR="00A57FCF" w:rsidRPr="00A57FCF" w:rsidRDefault="00A57FCF" w:rsidP="00A57FCF">
      <w:pPr>
        <w:pBdr>
          <w:top w:val="nil"/>
          <w:left w:val="nil"/>
          <w:bottom w:val="nil"/>
          <w:right w:val="nil"/>
          <w:between w:val="nil"/>
        </w:pBdr>
        <w:spacing w:after="0"/>
        <w:ind w:left="850" w:right="1196"/>
        <w:jc w:val="both"/>
        <w:rPr>
          <w:rFonts w:ascii="Arial" w:eastAsia="Arial" w:hAnsi="Arial" w:cs="Arial"/>
          <w:sz w:val="20"/>
          <w:szCs w:val="20"/>
        </w:rPr>
      </w:pPr>
      <w:r w:rsidRPr="00A57FCF">
        <w:rPr>
          <w:rFonts w:ascii="Arial" w:eastAsia="Arial" w:hAnsi="Arial" w:cs="Arial"/>
          <w:sz w:val="20"/>
          <w:szCs w:val="20"/>
        </w:rPr>
        <w:t>Lo dispuesto en este numeral no se aplicará respecto de aquellos pagos cuyos soportes hayan sido presentados en forma incompleta o se encuentren pendientes del cumplimiento de requisitos previstos en el contrato del cual se derivan. </w:t>
      </w:r>
    </w:p>
    <w:p w:rsidR="00A57FCF" w:rsidRDefault="00A57FCF">
      <w:pPr>
        <w:spacing w:after="0"/>
        <w:ind w:left="720"/>
        <w:rPr>
          <w:rFonts w:ascii="Arial" w:eastAsia="Arial" w:hAnsi="Arial" w:cs="Arial"/>
          <w:b/>
          <w:sz w:val="24"/>
          <w:szCs w:val="24"/>
          <w:highlight w:val="white"/>
        </w:rPr>
      </w:pPr>
    </w:p>
    <w:p w:rsidR="00A57FCF" w:rsidRDefault="00A57FCF">
      <w:pPr>
        <w:spacing w:after="0"/>
        <w:ind w:left="720"/>
        <w:rPr>
          <w:rFonts w:ascii="Arial" w:eastAsia="Arial" w:hAnsi="Arial" w:cs="Arial"/>
          <w:b/>
          <w:sz w:val="24"/>
          <w:szCs w:val="24"/>
          <w:highlight w:val="white"/>
        </w:rPr>
      </w:pPr>
    </w:p>
    <w:p w:rsidR="00A57FCF" w:rsidRDefault="00A57FCF" w:rsidP="00A57FCF">
      <w:pPr>
        <w:pBdr>
          <w:top w:val="nil"/>
          <w:left w:val="nil"/>
          <w:bottom w:val="nil"/>
          <w:right w:val="nil"/>
          <w:between w:val="nil"/>
        </w:pBdr>
        <w:spacing w:after="0"/>
        <w:ind w:right="1196"/>
        <w:jc w:val="both"/>
        <w:rPr>
          <w:rFonts w:ascii="Arial" w:eastAsia="Arial" w:hAnsi="Arial" w:cs="Arial"/>
          <w:sz w:val="20"/>
          <w:szCs w:val="20"/>
        </w:rPr>
      </w:pPr>
      <w:r>
        <w:rPr>
          <w:rFonts w:ascii="Arial" w:eastAsia="Arial" w:hAnsi="Arial" w:cs="Arial"/>
          <w:sz w:val="20"/>
          <w:szCs w:val="20"/>
        </w:rPr>
        <w:t>“(...)</w:t>
      </w:r>
    </w:p>
    <w:p w:rsidR="00A57FCF" w:rsidRDefault="00A57FCF">
      <w:pPr>
        <w:spacing w:after="0"/>
        <w:ind w:left="720"/>
        <w:rPr>
          <w:rFonts w:ascii="Arial" w:eastAsia="Arial" w:hAnsi="Arial" w:cs="Arial"/>
          <w:b/>
          <w:sz w:val="24"/>
          <w:szCs w:val="24"/>
          <w:highlight w:val="white"/>
        </w:rPr>
      </w:pPr>
    </w:p>
    <w:p w:rsidR="00A82D64" w:rsidRDefault="007E62C7">
      <w:pPr>
        <w:spacing w:after="0"/>
        <w:ind w:left="720"/>
        <w:rPr>
          <w:rFonts w:ascii="Arial" w:eastAsia="Arial" w:hAnsi="Arial" w:cs="Arial"/>
          <w:b/>
          <w:sz w:val="24"/>
          <w:szCs w:val="24"/>
        </w:rPr>
      </w:pPr>
      <w:r>
        <w:rPr>
          <w:rFonts w:ascii="Arial" w:eastAsia="Arial" w:hAnsi="Arial" w:cs="Arial"/>
          <w:b/>
          <w:sz w:val="24"/>
          <w:szCs w:val="24"/>
          <w:highlight w:val="white"/>
        </w:rPr>
        <w:t>3.1.2  DE LOS</w:t>
      </w:r>
      <w:r>
        <w:rPr>
          <w:rFonts w:ascii="Arial" w:eastAsia="Arial" w:hAnsi="Arial" w:cs="Arial"/>
          <w:b/>
          <w:sz w:val="24"/>
          <w:szCs w:val="24"/>
        </w:rPr>
        <w:t xml:space="preserve"> CONTRATOS DE PRESTACIÓN DE SERVICIOS PROFESIONALES Y DE APOYO A LA GESTIÓN DE DERECHO PRIVADO. </w:t>
      </w:r>
    </w:p>
    <w:p w:rsidR="00A82D64" w:rsidRDefault="00A82D64">
      <w:pPr>
        <w:spacing w:after="0"/>
        <w:ind w:left="720"/>
        <w:rPr>
          <w:rFonts w:ascii="Arial" w:eastAsia="Arial" w:hAnsi="Arial" w:cs="Arial"/>
          <w:b/>
          <w:sz w:val="24"/>
          <w:szCs w:val="24"/>
        </w:rPr>
      </w:pPr>
    </w:p>
    <w:p w:rsidR="00A82D64" w:rsidRDefault="007E62C7">
      <w:pPr>
        <w:spacing w:after="0"/>
        <w:rPr>
          <w:rFonts w:ascii="Arial" w:eastAsia="Arial" w:hAnsi="Arial" w:cs="Arial"/>
          <w:sz w:val="24"/>
          <w:szCs w:val="24"/>
        </w:rPr>
      </w:pPr>
      <w:r>
        <w:rPr>
          <w:rFonts w:ascii="Arial" w:eastAsia="Arial" w:hAnsi="Arial" w:cs="Arial"/>
          <w:sz w:val="24"/>
          <w:szCs w:val="24"/>
        </w:rPr>
        <w:t>La contratación por prestación de servicios se incorporó en la legislación nacional desde el Código Civil de 1873 y se encuentra definido por el artículo 1495 de la siguiente manera:</w:t>
      </w:r>
    </w:p>
    <w:p w:rsidR="00A82D64" w:rsidRDefault="00A82D64">
      <w:pPr>
        <w:spacing w:after="0"/>
        <w:rPr>
          <w:rFonts w:ascii="Arial" w:eastAsia="Arial" w:hAnsi="Arial" w:cs="Arial"/>
          <w:sz w:val="24"/>
          <w:szCs w:val="24"/>
        </w:rPr>
      </w:pPr>
    </w:p>
    <w:p w:rsidR="00A82D64" w:rsidRDefault="007E62C7">
      <w:pPr>
        <w:spacing w:after="0"/>
        <w:ind w:left="850" w:right="1196"/>
        <w:jc w:val="both"/>
        <w:rPr>
          <w:rFonts w:ascii="Arial" w:eastAsia="Arial" w:hAnsi="Arial" w:cs="Arial"/>
          <w:sz w:val="20"/>
          <w:szCs w:val="20"/>
        </w:rPr>
      </w:pPr>
      <w:r>
        <w:rPr>
          <w:rFonts w:ascii="Arial" w:eastAsia="Arial" w:hAnsi="Arial" w:cs="Arial"/>
          <w:sz w:val="20"/>
          <w:szCs w:val="20"/>
        </w:rPr>
        <w:t xml:space="preserve">“Art. 1495.Contrato o convención es un acto por el cual una parte se obliga para con otra a dar, hacer o no hacer alguna cosa. Cada parte puede ser de una o de muchas personas”. </w:t>
      </w:r>
    </w:p>
    <w:p w:rsidR="00A82D64" w:rsidRDefault="00A82D64">
      <w:pPr>
        <w:spacing w:after="0"/>
        <w:ind w:left="720"/>
        <w:jc w:val="both"/>
        <w:rPr>
          <w:rFonts w:ascii="Arial" w:eastAsia="Arial" w:hAnsi="Arial" w:cs="Arial"/>
          <w:b/>
          <w:sz w:val="24"/>
          <w:szCs w:val="24"/>
        </w:rPr>
      </w:pPr>
    </w:p>
    <w:p w:rsidR="00A82D64" w:rsidRDefault="007E62C7">
      <w:pPr>
        <w:spacing w:after="0"/>
        <w:ind w:left="720"/>
        <w:jc w:val="both"/>
        <w:rPr>
          <w:rFonts w:ascii="Arial" w:eastAsia="Arial" w:hAnsi="Arial" w:cs="Arial"/>
          <w:sz w:val="24"/>
          <w:szCs w:val="24"/>
        </w:rPr>
      </w:pPr>
      <w:r>
        <w:rPr>
          <w:rFonts w:ascii="Arial" w:eastAsia="Arial" w:hAnsi="Arial" w:cs="Arial"/>
          <w:sz w:val="24"/>
          <w:szCs w:val="24"/>
        </w:rPr>
        <w:t xml:space="preserve">Por su parte el </w:t>
      </w:r>
      <w:r w:rsidR="00C460BE">
        <w:rPr>
          <w:rFonts w:ascii="Arial" w:eastAsia="Arial" w:hAnsi="Arial" w:cs="Arial"/>
          <w:sz w:val="24"/>
          <w:szCs w:val="24"/>
        </w:rPr>
        <w:t>Código</w:t>
      </w:r>
      <w:r>
        <w:rPr>
          <w:rFonts w:ascii="Arial" w:eastAsia="Arial" w:hAnsi="Arial" w:cs="Arial"/>
          <w:sz w:val="24"/>
          <w:szCs w:val="24"/>
        </w:rPr>
        <w:t xml:space="preserve"> Sustantivo del Trabajo también lo define </w:t>
      </w:r>
      <w:r w:rsidR="00C460BE">
        <w:rPr>
          <w:rFonts w:ascii="Arial" w:eastAsia="Arial" w:hAnsi="Arial" w:cs="Arial"/>
          <w:sz w:val="24"/>
          <w:szCs w:val="24"/>
        </w:rPr>
        <w:t>así</w:t>
      </w:r>
      <w:r>
        <w:rPr>
          <w:rFonts w:ascii="Arial" w:eastAsia="Arial" w:hAnsi="Arial" w:cs="Arial"/>
          <w:sz w:val="24"/>
          <w:szCs w:val="24"/>
        </w:rPr>
        <w:t xml:space="preserve">: </w:t>
      </w:r>
    </w:p>
    <w:p w:rsidR="00A82D64" w:rsidRDefault="00A82D64">
      <w:pPr>
        <w:spacing w:after="0"/>
        <w:ind w:left="720"/>
        <w:jc w:val="both"/>
        <w:rPr>
          <w:rFonts w:ascii="Arial" w:eastAsia="Arial" w:hAnsi="Arial" w:cs="Arial"/>
          <w:sz w:val="24"/>
          <w:szCs w:val="24"/>
        </w:rPr>
      </w:pPr>
    </w:p>
    <w:p w:rsidR="00A82D64" w:rsidRDefault="00B06187">
      <w:pPr>
        <w:spacing w:after="0"/>
        <w:ind w:left="720" w:right="1196" w:hanging="10"/>
        <w:jc w:val="both"/>
        <w:rPr>
          <w:rFonts w:ascii="Arial" w:eastAsia="Arial" w:hAnsi="Arial" w:cs="Arial"/>
          <w:sz w:val="20"/>
          <w:szCs w:val="20"/>
        </w:rPr>
      </w:pPr>
      <w:r>
        <w:rPr>
          <w:rFonts w:ascii="Arial" w:eastAsia="Arial" w:hAnsi="Arial" w:cs="Arial"/>
          <w:sz w:val="20"/>
          <w:szCs w:val="20"/>
        </w:rPr>
        <w:t>“ARTÍCULO</w:t>
      </w:r>
      <w:r w:rsidR="007E62C7">
        <w:rPr>
          <w:rFonts w:ascii="Arial" w:eastAsia="Arial" w:hAnsi="Arial" w:cs="Arial"/>
          <w:sz w:val="20"/>
          <w:szCs w:val="20"/>
        </w:rPr>
        <w:t xml:space="preserve"> 34. Contratistas independientes.</w:t>
      </w:r>
    </w:p>
    <w:p w:rsidR="00A82D64" w:rsidRDefault="007E62C7">
      <w:pPr>
        <w:spacing w:after="0"/>
        <w:ind w:left="720" w:right="1196" w:hanging="10"/>
        <w:jc w:val="both"/>
        <w:rPr>
          <w:rFonts w:ascii="Arial" w:eastAsia="Arial" w:hAnsi="Arial" w:cs="Arial"/>
          <w:sz w:val="20"/>
          <w:szCs w:val="20"/>
        </w:rPr>
      </w:pPr>
      <w:r>
        <w:rPr>
          <w:rFonts w:ascii="Arial" w:eastAsia="Arial" w:hAnsi="Arial" w:cs="Arial"/>
          <w:sz w:val="20"/>
          <w:szCs w:val="20"/>
        </w:rPr>
        <w:t xml:space="preserve"> </w:t>
      </w:r>
    </w:p>
    <w:p w:rsidR="00A82D64" w:rsidRDefault="007E62C7">
      <w:pPr>
        <w:spacing w:after="0"/>
        <w:ind w:left="720" w:right="1196" w:hanging="10"/>
        <w:jc w:val="both"/>
        <w:rPr>
          <w:rFonts w:ascii="Arial" w:eastAsia="Arial" w:hAnsi="Arial" w:cs="Arial"/>
          <w:sz w:val="20"/>
          <w:szCs w:val="20"/>
        </w:rPr>
      </w:pPr>
      <w:r>
        <w:rPr>
          <w:rFonts w:ascii="Arial" w:eastAsia="Arial" w:hAnsi="Arial" w:cs="Arial"/>
          <w:sz w:val="20"/>
          <w:szCs w:val="20"/>
        </w:rPr>
        <w:t xml:space="preserve">1. Son contratistas independientes y, por tanto, verdaderos patronos y no representantes ni intermediarios las personas naturales o jurídicas que contraten la ejecución de una o varias obras o la prestación de servicios en beneficio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w:t>
      </w:r>
      <w:r w:rsidR="00B06187">
        <w:rPr>
          <w:rFonts w:ascii="Arial" w:eastAsia="Arial" w:hAnsi="Arial" w:cs="Arial"/>
          <w:sz w:val="20"/>
          <w:szCs w:val="20"/>
        </w:rPr>
        <w:t>indemnizaciones</w:t>
      </w:r>
      <w:r>
        <w:rPr>
          <w:rFonts w:ascii="Arial" w:eastAsia="Arial" w:hAnsi="Arial" w:cs="Arial"/>
          <w:sz w:val="20"/>
          <w:szCs w:val="20"/>
        </w:rPr>
        <w:t xml:space="preserve"> a que tengan derecho los trabajadores, solidaridad que no obsta para que el beneficiario estipule con el contratista las garantías del caso o para que repita contra él lo pagado a esos trabajadores.  </w:t>
      </w:r>
    </w:p>
    <w:p w:rsidR="00A82D64" w:rsidRDefault="007E62C7">
      <w:pPr>
        <w:spacing w:after="0"/>
        <w:ind w:left="720" w:right="1196" w:hanging="10"/>
        <w:jc w:val="both"/>
        <w:rPr>
          <w:rFonts w:ascii="Arial" w:eastAsia="Arial" w:hAnsi="Arial" w:cs="Arial"/>
          <w:sz w:val="20"/>
          <w:szCs w:val="20"/>
        </w:rPr>
      </w:pPr>
      <w:r>
        <w:rPr>
          <w:rFonts w:ascii="Arial" w:eastAsia="Arial" w:hAnsi="Arial" w:cs="Arial"/>
          <w:sz w:val="20"/>
          <w:szCs w:val="20"/>
        </w:rPr>
        <w:t xml:space="preserve">  </w:t>
      </w:r>
    </w:p>
    <w:p w:rsidR="00A82D64" w:rsidRDefault="007E62C7">
      <w:pPr>
        <w:spacing w:after="0"/>
        <w:ind w:left="720" w:right="1196" w:hanging="10"/>
        <w:jc w:val="both"/>
        <w:rPr>
          <w:rFonts w:ascii="Arial" w:eastAsia="Arial" w:hAnsi="Arial" w:cs="Arial"/>
          <w:b/>
          <w:sz w:val="20"/>
          <w:szCs w:val="20"/>
        </w:rPr>
      </w:pPr>
      <w:r>
        <w:rPr>
          <w:rFonts w:ascii="Arial" w:eastAsia="Arial" w:hAnsi="Arial" w:cs="Arial"/>
          <w:sz w:val="20"/>
          <w:szCs w:val="20"/>
        </w:rPr>
        <w:t>2. El beneficiario del trabajo o dueño de la obra, también será solidariamente responsable, en las condiciones fijadas en el inciso anterior, de las obligaciones de los subcontratistas frente a sus trabajadores, aun en el caso de que los contratistas no estén autorizados para contratar los servicios de subcontratistas”.</w:t>
      </w:r>
      <w:r>
        <w:rPr>
          <w:rFonts w:ascii="Arial" w:eastAsia="Arial" w:hAnsi="Arial" w:cs="Arial"/>
          <w:b/>
          <w:sz w:val="20"/>
          <w:szCs w:val="20"/>
        </w:rPr>
        <w:t xml:space="preserve"> </w:t>
      </w:r>
    </w:p>
    <w:p w:rsidR="00A82D64" w:rsidRDefault="00A82D64">
      <w:pPr>
        <w:spacing w:after="0"/>
        <w:ind w:left="720"/>
        <w:rPr>
          <w:rFonts w:ascii="Arial" w:eastAsia="Arial" w:hAnsi="Arial" w:cs="Arial"/>
          <w:b/>
          <w:sz w:val="24"/>
          <w:szCs w:val="24"/>
        </w:rPr>
      </w:pPr>
    </w:p>
    <w:p w:rsidR="00A82D64" w:rsidRDefault="007E62C7">
      <w:pPr>
        <w:spacing w:after="0"/>
        <w:jc w:val="both"/>
        <w:rPr>
          <w:rFonts w:ascii="Arial" w:eastAsia="Arial" w:hAnsi="Arial" w:cs="Arial"/>
          <w:sz w:val="24"/>
          <w:szCs w:val="24"/>
        </w:rPr>
      </w:pPr>
      <w:r>
        <w:rPr>
          <w:rFonts w:ascii="Arial" w:eastAsia="Arial" w:hAnsi="Arial" w:cs="Arial"/>
          <w:sz w:val="24"/>
          <w:szCs w:val="24"/>
        </w:rPr>
        <w:t xml:space="preserve">En cuanto a la </w:t>
      </w:r>
      <w:r w:rsidR="00B06187">
        <w:rPr>
          <w:rFonts w:ascii="Arial" w:eastAsia="Arial" w:hAnsi="Arial" w:cs="Arial"/>
          <w:sz w:val="24"/>
          <w:szCs w:val="24"/>
        </w:rPr>
        <w:t>cotización</w:t>
      </w:r>
      <w:r>
        <w:rPr>
          <w:rFonts w:ascii="Arial" w:eastAsia="Arial" w:hAnsi="Arial" w:cs="Arial"/>
          <w:sz w:val="24"/>
          <w:szCs w:val="24"/>
        </w:rPr>
        <w:t xml:space="preserve"> y base gravable para cotizaciones encontramos regulación en el  primer inciso del artículo 135 de la Ley 1753 de 2015 que dispuso que los trabajadores independientes que perciban ingresos mensuales iguales o superiores a un (1) salario mínimo legal mensual vigente cotizarán mes vencido al Sistema de Seguridad Social Integral. Artículo que fue reglamentado por el  Decreto 1273 de 2018.</w:t>
      </w:r>
    </w:p>
    <w:p w:rsidR="00A82D64" w:rsidRDefault="00A82D64">
      <w:pPr>
        <w:spacing w:after="0"/>
        <w:jc w:val="both"/>
        <w:rPr>
          <w:rFonts w:ascii="Arial" w:eastAsia="Arial" w:hAnsi="Arial" w:cs="Arial"/>
          <w:sz w:val="24"/>
          <w:szCs w:val="24"/>
        </w:rPr>
      </w:pPr>
    </w:p>
    <w:p w:rsidR="00A82D64" w:rsidRDefault="00A82D64">
      <w:pPr>
        <w:spacing w:after="0"/>
        <w:ind w:left="720"/>
        <w:rPr>
          <w:rFonts w:ascii="Arial" w:eastAsia="Arial" w:hAnsi="Arial" w:cs="Arial"/>
          <w:b/>
          <w:sz w:val="24"/>
          <w:szCs w:val="24"/>
          <w:highlight w:val="white"/>
        </w:rPr>
      </w:pPr>
    </w:p>
    <w:p w:rsidR="00F951D7" w:rsidRDefault="00F951D7">
      <w:pPr>
        <w:spacing w:after="0"/>
        <w:ind w:left="720"/>
        <w:rPr>
          <w:rFonts w:ascii="Arial" w:eastAsia="Arial" w:hAnsi="Arial" w:cs="Arial"/>
          <w:b/>
          <w:sz w:val="24"/>
          <w:szCs w:val="24"/>
          <w:highlight w:val="white"/>
        </w:rPr>
      </w:pPr>
    </w:p>
    <w:p w:rsidR="00F951D7" w:rsidRDefault="00F951D7">
      <w:pPr>
        <w:spacing w:after="0"/>
        <w:ind w:left="720"/>
        <w:rPr>
          <w:rFonts w:ascii="Arial" w:eastAsia="Arial" w:hAnsi="Arial" w:cs="Arial"/>
          <w:b/>
          <w:sz w:val="24"/>
          <w:szCs w:val="24"/>
          <w:highlight w:val="white"/>
        </w:rPr>
      </w:pPr>
    </w:p>
    <w:p w:rsidR="00F951D7" w:rsidRDefault="00F951D7">
      <w:pPr>
        <w:spacing w:after="0"/>
        <w:ind w:left="720"/>
        <w:rPr>
          <w:rFonts w:ascii="Arial" w:eastAsia="Arial" w:hAnsi="Arial" w:cs="Arial"/>
          <w:b/>
          <w:sz w:val="24"/>
          <w:szCs w:val="24"/>
          <w:highlight w:val="white"/>
        </w:rPr>
      </w:pPr>
    </w:p>
    <w:p w:rsidR="00F951D7" w:rsidRDefault="00F951D7">
      <w:pPr>
        <w:spacing w:after="0"/>
        <w:ind w:left="720"/>
        <w:rPr>
          <w:rFonts w:ascii="Arial" w:eastAsia="Arial" w:hAnsi="Arial" w:cs="Arial"/>
          <w:b/>
          <w:sz w:val="24"/>
          <w:szCs w:val="24"/>
          <w:highlight w:val="white"/>
        </w:rPr>
      </w:pPr>
    </w:p>
    <w:p w:rsidR="00F951D7" w:rsidRDefault="00F951D7">
      <w:pPr>
        <w:spacing w:after="0"/>
        <w:ind w:left="720"/>
        <w:rPr>
          <w:rFonts w:ascii="Arial" w:eastAsia="Arial" w:hAnsi="Arial" w:cs="Arial"/>
          <w:b/>
          <w:sz w:val="24"/>
          <w:szCs w:val="24"/>
          <w:highlight w:val="white"/>
        </w:rPr>
      </w:pPr>
    </w:p>
    <w:p w:rsidR="00F951D7" w:rsidRDefault="00F951D7">
      <w:pPr>
        <w:spacing w:after="0"/>
        <w:ind w:left="720"/>
        <w:rPr>
          <w:rFonts w:ascii="Arial" w:eastAsia="Arial" w:hAnsi="Arial" w:cs="Arial"/>
          <w:b/>
          <w:sz w:val="24"/>
          <w:szCs w:val="24"/>
          <w:highlight w:val="white"/>
        </w:rPr>
      </w:pPr>
    </w:p>
    <w:p w:rsidR="00A82D64" w:rsidRDefault="007E62C7">
      <w:pPr>
        <w:numPr>
          <w:ilvl w:val="0"/>
          <w:numId w:val="1"/>
        </w:numPr>
        <w:spacing w:after="0"/>
        <w:ind w:hanging="360"/>
        <w:jc w:val="center"/>
        <w:rPr>
          <w:rFonts w:ascii="Arial" w:eastAsia="Arial" w:hAnsi="Arial" w:cs="Arial"/>
          <w:highlight w:val="white"/>
        </w:rPr>
      </w:pPr>
      <w:r>
        <w:rPr>
          <w:rFonts w:ascii="Arial" w:eastAsia="Arial" w:hAnsi="Arial" w:cs="Arial"/>
          <w:b/>
          <w:sz w:val="24"/>
          <w:szCs w:val="24"/>
        </w:rPr>
        <w:lastRenderedPageBreak/>
        <w:t>OBJETIVOS DEL PROYECTO.</w:t>
      </w:r>
    </w:p>
    <w:p w:rsidR="00A82D64" w:rsidRDefault="00A82D64">
      <w:pPr>
        <w:rPr>
          <w:rFonts w:ascii="Arial" w:eastAsia="Arial" w:hAnsi="Arial" w:cs="Arial"/>
          <w:sz w:val="24"/>
          <w:szCs w:val="24"/>
        </w:rPr>
      </w:pPr>
    </w:p>
    <w:p w:rsidR="00A82D64" w:rsidRDefault="007E62C7">
      <w:pPr>
        <w:spacing w:after="0"/>
        <w:jc w:val="both"/>
        <w:rPr>
          <w:rFonts w:ascii="Arial" w:eastAsia="Arial" w:hAnsi="Arial" w:cs="Arial"/>
          <w:sz w:val="24"/>
          <w:szCs w:val="24"/>
        </w:rPr>
      </w:pPr>
      <w:r>
        <w:rPr>
          <w:rFonts w:ascii="Arial" w:eastAsia="Arial" w:hAnsi="Arial" w:cs="Arial"/>
          <w:sz w:val="24"/>
          <w:szCs w:val="24"/>
        </w:rPr>
        <w:t xml:space="preserve">La iniciativa legislativa busca: </w:t>
      </w:r>
    </w:p>
    <w:p w:rsidR="00A82D64" w:rsidRDefault="00A82D64">
      <w:pPr>
        <w:jc w:val="both"/>
        <w:rPr>
          <w:rFonts w:ascii="Arial" w:eastAsia="Arial" w:hAnsi="Arial" w:cs="Arial"/>
          <w:sz w:val="24"/>
          <w:szCs w:val="24"/>
        </w:rPr>
      </w:pPr>
    </w:p>
    <w:p w:rsidR="00A82D64" w:rsidRDefault="007E62C7">
      <w:pPr>
        <w:jc w:val="both"/>
        <w:rPr>
          <w:rFonts w:ascii="Arial" w:eastAsia="Arial" w:hAnsi="Arial" w:cs="Arial"/>
          <w:sz w:val="24"/>
          <w:szCs w:val="24"/>
        </w:rPr>
      </w:pPr>
      <w:r>
        <w:rPr>
          <w:rFonts w:ascii="Arial" w:eastAsia="Arial" w:hAnsi="Arial" w:cs="Arial"/>
          <w:sz w:val="24"/>
          <w:szCs w:val="24"/>
        </w:rPr>
        <w:t>Artículo 1. Objeto y alcance de la ley.</w:t>
      </w:r>
    </w:p>
    <w:p w:rsidR="00A82D64" w:rsidRDefault="007E62C7">
      <w:pPr>
        <w:jc w:val="both"/>
        <w:rPr>
          <w:rFonts w:ascii="Arial" w:eastAsia="Arial" w:hAnsi="Arial" w:cs="Arial"/>
          <w:sz w:val="24"/>
          <w:szCs w:val="24"/>
        </w:rPr>
      </w:pPr>
      <w:r>
        <w:rPr>
          <w:rFonts w:ascii="Arial" w:eastAsia="Arial" w:hAnsi="Arial" w:cs="Arial"/>
          <w:sz w:val="24"/>
          <w:szCs w:val="24"/>
        </w:rPr>
        <w:t>Artículo 2. Descanso programado.</w:t>
      </w:r>
      <w:r>
        <w:rPr>
          <w:rFonts w:ascii="Arial" w:eastAsia="Arial" w:hAnsi="Arial" w:cs="Arial"/>
          <w:b/>
          <w:sz w:val="24"/>
          <w:szCs w:val="24"/>
        </w:rPr>
        <w:t xml:space="preserve"> </w:t>
      </w:r>
      <w:r>
        <w:rPr>
          <w:rFonts w:ascii="Arial" w:eastAsia="Arial" w:hAnsi="Arial" w:cs="Arial"/>
          <w:sz w:val="24"/>
          <w:szCs w:val="24"/>
        </w:rPr>
        <w:t>Contempla el reconocimiento de un día hábil de descanso por cada mes de prestación de servicios personales, que será reconocido una vez finalice el contrato o según acuerden las partes.</w:t>
      </w:r>
    </w:p>
    <w:p w:rsidR="00A82D64" w:rsidRDefault="007E62C7">
      <w:pPr>
        <w:jc w:val="both"/>
        <w:rPr>
          <w:rFonts w:ascii="Arial" w:eastAsia="Arial" w:hAnsi="Arial" w:cs="Arial"/>
          <w:sz w:val="24"/>
          <w:szCs w:val="24"/>
        </w:rPr>
      </w:pPr>
      <w:r>
        <w:rPr>
          <w:rFonts w:ascii="Arial" w:eastAsia="Arial" w:hAnsi="Arial" w:cs="Arial"/>
          <w:sz w:val="24"/>
          <w:szCs w:val="24"/>
        </w:rPr>
        <w:t xml:space="preserve">Artículo 3. Fórmula del descanso remunerado. Fija la forma en que se calculará el valor a pagar por </w:t>
      </w:r>
      <w:r w:rsidR="00B06187">
        <w:rPr>
          <w:rFonts w:ascii="Arial" w:eastAsia="Arial" w:hAnsi="Arial" w:cs="Arial"/>
          <w:sz w:val="24"/>
          <w:szCs w:val="24"/>
        </w:rPr>
        <w:t>día</w:t>
      </w:r>
      <w:r>
        <w:rPr>
          <w:rFonts w:ascii="Arial" w:eastAsia="Arial" w:hAnsi="Arial" w:cs="Arial"/>
          <w:sz w:val="24"/>
          <w:szCs w:val="24"/>
        </w:rPr>
        <w:t xml:space="preserve"> de descanso</w:t>
      </w:r>
    </w:p>
    <w:p w:rsidR="00A82D64" w:rsidRDefault="007E62C7">
      <w:pPr>
        <w:jc w:val="both"/>
        <w:rPr>
          <w:rFonts w:ascii="Arial" w:eastAsia="Arial" w:hAnsi="Arial" w:cs="Arial"/>
          <w:sz w:val="24"/>
          <w:szCs w:val="24"/>
        </w:rPr>
      </w:pPr>
      <w:r>
        <w:rPr>
          <w:rFonts w:ascii="Arial" w:eastAsia="Arial" w:hAnsi="Arial" w:cs="Arial"/>
          <w:sz w:val="24"/>
          <w:szCs w:val="24"/>
        </w:rPr>
        <w:t xml:space="preserve">Artículo 4. Ingreso Base de Cotización para Trabajadores independientes. Determina la forma, cuantía y modo de cotización de los aportes al Sistema de Seguridad Social Integral del trabajador independiente </w:t>
      </w:r>
    </w:p>
    <w:p w:rsidR="00A82D64" w:rsidRDefault="007E62C7">
      <w:pPr>
        <w:jc w:val="both"/>
        <w:rPr>
          <w:rFonts w:ascii="Arial" w:eastAsia="Arial" w:hAnsi="Arial" w:cs="Arial"/>
          <w:sz w:val="24"/>
          <w:szCs w:val="24"/>
        </w:rPr>
      </w:pPr>
      <w:r>
        <w:rPr>
          <w:rFonts w:ascii="Arial" w:eastAsia="Arial" w:hAnsi="Arial" w:cs="Arial"/>
          <w:sz w:val="24"/>
          <w:szCs w:val="24"/>
        </w:rPr>
        <w:t xml:space="preserve">Artículo 5.  Cajas De Compensación Familiar. Crea el beneficio para los contratistas de prestación de servicios y de apoyo a la </w:t>
      </w:r>
      <w:r w:rsidR="00B06187">
        <w:rPr>
          <w:rFonts w:ascii="Arial" w:eastAsia="Arial" w:hAnsi="Arial" w:cs="Arial"/>
          <w:sz w:val="24"/>
          <w:szCs w:val="24"/>
        </w:rPr>
        <w:t>gestión</w:t>
      </w:r>
      <w:r>
        <w:rPr>
          <w:rFonts w:ascii="Arial" w:eastAsia="Arial" w:hAnsi="Arial" w:cs="Arial"/>
          <w:sz w:val="24"/>
          <w:szCs w:val="24"/>
        </w:rPr>
        <w:t xml:space="preserve"> de ser afiliados a los planes ordinarios de las cajas de </w:t>
      </w:r>
      <w:r w:rsidR="00B06187">
        <w:rPr>
          <w:rFonts w:ascii="Arial" w:eastAsia="Arial" w:hAnsi="Arial" w:cs="Arial"/>
          <w:sz w:val="24"/>
          <w:szCs w:val="24"/>
        </w:rPr>
        <w:t>compensación</w:t>
      </w:r>
      <w:r>
        <w:rPr>
          <w:rFonts w:ascii="Arial" w:eastAsia="Arial" w:hAnsi="Arial" w:cs="Arial"/>
          <w:sz w:val="24"/>
          <w:szCs w:val="24"/>
        </w:rPr>
        <w:t xml:space="preserve"> y al disfrute de sus portafolios; la afiliación y pago  a cargo del empleador. </w:t>
      </w:r>
    </w:p>
    <w:p w:rsidR="00A82D64" w:rsidRDefault="007E62C7">
      <w:pPr>
        <w:jc w:val="both"/>
        <w:rPr>
          <w:rFonts w:ascii="Arial" w:eastAsia="Arial" w:hAnsi="Arial" w:cs="Arial"/>
          <w:sz w:val="24"/>
          <w:szCs w:val="24"/>
        </w:rPr>
      </w:pPr>
      <w:r>
        <w:rPr>
          <w:rFonts w:ascii="Arial" w:eastAsia="Arial" w:hAnsi="Arial" w:cs="Arial"/>
          <w:sz w:val="24"/>
          <w:szCs w:val="24"/>
        </w:rPr>
        <w:t xml:space="preserve">Artículo 6. Término oportuno para el pago de la cuenta de cobro. Se contempla un término perentorio de cinco (05) días hábiles para el contratante reconozca y desembolsos los honorarios a los contratistas. En casos de inconsistencias o error se deberá informar </w:t>
      </w:r>
      <w:r w:rsidR="00B06187">
        <w:rPr>
          <w:rFonts w:ascii="Arial" w:eastAsia="Arial" w:hAnsi="Arial" w:cs="Arial"/>
          <w:sz w:val="24"/>
          <w:szCs w:val="24"/>
        </w:rPr>
        <w:t>a los contratistas</w:t>
      </w:r>
      <w:r>
        <w:rPr>
          <w:rFonts w:ascii="Arial" w:eastAsia="Arial" w:hAnsi="Arial" w:cs="Arial"/>
          <w:sz w:val="24"/>
          <w:szCs w:val="24"/>
        </w:rPr>
        <w:t xml:space="preserve"> sobre estas. </w:t>
      </w:r>
    </w:p>
    <w:p w:rsidR="00A82D64" w:rsidRDefault="007E62C7">
      <w:pPr>
        <w:jc w:val="both"/>
        <w:rPr>
          <w:rFonts w:ascii="Arial" w:eastAsia="Arial" w:hAnsi="Arial" w:cs="Arial"/>
          <w:sz w:val="24"/>
          <w:szCs w:val="24"/>
        </w:rPr>
      </w:pPr>
      <w:r>
        <w:rPr>
          <w:rFonts w:ascii="Arial" w:eastAsia="Arial" w:hAnsi="Arial" w:cs="Arial"/>
          <w:sz w:val="24"/>
          <w:szCs w:val="24"/>
        </w:rPr>
        <w:t xml:space="preserve">Artículo 7. Digitalización y trazabilidad de las cuentas de cobro </w:t>
      </w:r>
    </w:p>
    <w:p w:rsidR="00A82D64" w:rsidRDefault="007E62C7">
      <w:pPr>
        <w:jc w:val="both"/>
        <w:rPr>
          <w:rFonts w:ascii="Arial" w:eastAsia="Arial" w:hAnsi="Arial" w:cs="Arial"/>
          <w:sz w:val="24"/>
          <w:szCs w:val="24"/>
        </w:rPr>
      </w:pPr>
      <w:r>
        <w:rPr>
          <w:rFonts w:ascii="Arial" w:eastAsia="Arial" w:hAnsi="Arial" w:cs="Arial"/>
          <w:sz w:val="24"/>
          <w:szCs w:val="24"/>
        </w:rPr>
        <w:t>Artículo 8. Sanción. Se contempla una penalidad para el contratante que no cumpliere con lo dispuesto en esta ley, tendrá que pagar al contratista una sanción económica equivalente al 10% del total del contrato de prestación de servicios.</w:t>
      </w:r>
    </w:p>
    <w:p w:rsidR="00A82D64" w:rsidRDefault="007E62C7">
      <w:pPr>
        <w:jc w:val="both"/>
        <w:rPr>
          <w:rFonts w:ascii="Arial" w:eastAsia="Arial" w:hAnsi="Arial" w:cs="Arial"/>
          <w:sz w:val="24"/>
          <w:szCs w:val="24"/>
        </w:rPr>
      </w:pPr>
      <w:r>
        <w:rPr>
          <w:rFonts w:ascii="Arial" w:eastAsia="Arial" w:hAnsi="Arial" w:cs="Arial"/>
          <w:sz w:val="24"/>
          <w:szCs w:val="24"/>
        </w:rPr>
        <w:t xml:space="preserve">Artículo 9. Vigencia y derogatorias. </w:t>
      </w:r>
    </w:p>
    <w:p w:rsidR="00B06187" w:rsidRPr="00B06187" w:rsidRDefault="00B06187" w:rsidP="00B06187">
      <w:pPr>
        <w:spacing w:after="0"/>
        <w:ind w:left="720"/>
        <w:rPr>
          <w:rFonts w:ascii="Arial" w:eastAsia="Arial" w:hAnsi="Arial" w:cs="Arial"/>
          <w:highlight w:val="white"/>
        </w:rPr>
      </w:pPr>
    </w:p>
    <w:p w:rsidR="00A82D64" w:rsidRDefault="007E62C7">
      <w:pPr>
        <w:numPr>
          <w:ilvl w:val="0"/>
          <w:numId w:val="1"/>
        </w:numPr>
        <w:spacing w:after="0"/>
        <w:ind w:hanging="360"/>
        <w:jc w:val="center"/>
        <w:rPr>
          <w:rFonts w:ascii="Arial" w:eastAsia="Arial" w:hAnsi="Arial" w:cs="Arial"/>
          <w:highlight w:val="white"/>
        </w:rPr>
      </w:pPr>
      <w:r>
        <w:rPr>
          <w:rFonts w:ascii="Arial" w:eastAsia="Arial" w:hAnsi="Arial" w:cs="Arial"/>
          <w:b/>
          <w:sz w:val="24"/>
          <w:szCs w:val="24"/>
        </w:rPr>
        <w:t>IMPACTO FISCAL.</w:t>
      </w:r>
    </w:p>
    <w:p w:rsidR="00B06187" w:rsidRDefault="00B06187">
      <w:pPr>
        <w:jc w:val="both"/>
        <w:rPr>
          <w:rFonts w:ascii="Arial" w:eastAsia="Arial" w:hAnsi="Arial" w:cs="Arial"/>
          <w:sz w:val="24"/>
          <w:szCs w:val="24"/>
        </w:rPr>
      </w:pPr>
    </w:p>
    <w:p w:rsidR="00A82D64" w:rsidRDefault="007E62C7">
      <w:pPr>
        <w:jc w:val="both"/>
        <w:rPr>
          <w:rFonts w:ascii="Arial" w:eastAsia="Arial" w:hAnsi="Arial" w:cs="Arial"/>
          <w:sz w:val="24"/>
          <w:szCs w:val="24"/>
        </w:rPr>
      </w:pPr>
      <w:r>
        <w:rPr>
          <w:rFonts w:ascii="Arial" w:eastAsia="Arial" w:hAnsi="Arial" w:cs="Arial"/>
          <w:sz w:val="24"/>
          <w:szCs w:val="24"/>
        </w:rPr>
        <w:t xml:space="preserve">De conformidad con el artículo 7 de la ley 819 de 2003, los gastos que genere la presente iniciativa se entenderán incluidos en los presupuestos y en el Plan </w:t>
      </w:r>
      <w:r>
        <w:rPr>
          <w:rFonts w:ascii="Arial" w:eastAsia="Arial" w:hAnsi="Arial" w:cs="Arial"/>
          <w:sz w:val="24"/>
          <w:szCs w:val="24"/>
        </w:rPr>
        <w:lastRenderedPageBreak/>
        <w:t>Operativo Anual de Inversión de la entidad competente. Es relevante mencionar, para el caso en concreto, que no obstante lo anterior tenemos como sustento un pronunciamiento de la Corte Constitucional, en la Sentencia C- 911 de 2007, en la cual se puntualizó que el impacto fiscal de las normas, no puede convertirse en óbice, para que las corporaciones públicas ejerzan su función legislativa y normativa.</w:t>
      </w:r>
    </w:p>
    <w:p w:rsidR="007951E7" w:rsidRDefault="007E62C7" w:rsidP="007951E7">
      <w:pPr>
        <w:spacing w:after="0"/>
        <w:jc w:val="both"/>
        <w:rPr>
          <w:rFonts w:ascii="Arial" w:eastAsia="Arial" w:hAnsi="Arial" w:cs="Arial"/>
          <w:sz w:val="24"/>
          <w:szCs w:val="24"/>
        </w:rPr>
      </w:pPr>
      <w:r>
        <w:rPr>
          <w:rFonts w:ascii="Arial" w:eastAsia="Arial" w:hAnsi="Arial" w:cs="Arial"/>
          <w:sz w:val="24"/>
          <w:szCs w:val="24"/>
        </w:rPr>
        <w:t>Es por todo lo anteriormente expuesto que los Congresistas abajo firmantes, nos permitimos poner a consideración del Honorable Congreso de la República el presente texto, y le solicitamos tramitar y aprobar el proyecto de ley “</w:t>
      </w:r>
      <w:r w:rsidR="007951E7" w:rsidRPr="00334231">
        <w:rPr>
          <w:rFonts w:ascii="Arial" w:eastAsia="Arial" w:hAnsi="Arial" w:cs="Arial"/>
          <w:i/>
          <w:sz w:val="24"/>
          <w:szCs w:val="24"/>
        </w:rPr>
        <w:t>Por medio de la cual se crean reglas de protección a las personas naturales que ejecuten contratos de prestación de servicios y de apoyo a la gestión y se dictan otras disposiciones.</w:t>
      </w:r>
      <w:r w:rsidR="007951E7" w:rsidRPr="007951E7">
        <w:rPr>
          <w:rFonts w:ascii="Arial" w:eastAsia="Arial" w:hAnsi="Arial" w:cs="Arial"/>
          <w:sz w:val="24"/>
          <w:szCs w:val="24"/>
        </w:rPr>
        <w:t>”</w:t>
      </w:r>
    </w:p>
    <w:p w:rsidR="00334231" w:rsidRPr="007951E7" w:rsidRDefault="00334231" w:rsidP="007951E7">
      <w:pPr>
        <w:spacing w:after="0"/>
        <w:jc w:val="both"/>
        <w:rPr>
          <w:rFonts w:ascii="Arial" w:eastAsia="Arial" w:hAnsi="Arial" w:cs="Arial"/>
          <w:sz w:val="24"/>
          <w:szCs w:val="24"/>
        </w:rPr>
      </w:pPr>
    </w:p>
    <w:p w:rsidR="00A82D64" w:rsidRDefault="00A82D64">
      <w:pPr>
        <w:jc w:val="both"/>
        <w:rPr>
          <w:rFonts w:ascii="Arial" w:eastAsia="Arial" w:hAnsi="Arial" w:cs="Arial"/>
          <w:sz w:val="24"/>
          <w:szCs w:val="24"/>
        </w:rPr>
      </w:pPr>
    </w:p>
    <w:p w:rsidR="00A82D64" w:rsidRDefault="007E62C7">
      <w:pPr>
        <w:jc w:val="both"/>
        <w:rPr>
          <w:rFonts w:ascii="Arial" w:eastAsia="Arial" w:hAnsi="Arial" w:cs="Arial"/>
          <w:sz w:val="24"/>
          <w:szCs w:val="24"/>
        </w:rPr>
      </w:pPr>
      <w:r>
        <w:rPr>
          <w:rFonts w:ascii="Arial" w:eastAsia="Arial" w:hAnsi="Arial" w:cs="Arial"/>
          <w:sz w:val="24"/>
          <w:szCs w:val="24"/>
        </w:rPr>
        <w:t>De los Honorables Congresistas,</w:t>
      </w:r>
    </w:p>
    <w:p w:rsidR="00A82D64" w:rsidRDefault="007E62C7">
      <w:pPr>
        <w:jc w:val="both"/>
        <w:rPr>
          <w:rFonts w:ascii="Arial" w:eastAsia="Arial" w:hAnsi="Arial" w:cs="Arial"/>
          <w:sz w:val="24"/>
          <w:szCs w:val="24"/>
        </w:rPr>
      </w:pPr>
      <w:r>
        <w:rPr>
          <w:rFonts w:ascii="Arial" w:eastAsia="Arial" w:hAnsi="Arial" w:cs="Arial"/>
          <w:sz w:val="24"/>
          <w:szCs w:val="24"/>
        </w:rPr>
        <w:t xml:space="preserve"> </w:t>
      </w:r>
    </w:p>
    <w:p w:rsidR="007951E7" w:rsidRDefault="007951E7">
      <w:pPr>
        <w:jc w:val="both"/>
        <w:rPr>
          <w:rFonts w:ascii="Arial" w:eastAsia="Arial" w:hAnsi="Arial" w:cs="Arial"/>
          <w:sz w:val="24"/>
          <w:szCs w:val="24"/>
        </w:rPr>
      </w:pPr>
    </w:p>
    <w:p w:rsidR="007951E7" w:rsidRDefault="007951E7">
      <w:pPr>
        <w:jc w:val="both"/>
        <w:rPr>
          <w:rFonts w:ascii="Arial" w:eastAsia="Arial" w:hAnsi="Arial" w:cs="Arial"/>
          <w:sz w:val="24"/>
          <w:szCs w:val="24"/>
        </w:rPr>
      </w:pPr>
    </w:p>
    <w:p w:rsidR="0038049E" w:rsidRDefault="0038049E" w:rsidP="0038049E">
      <w:pPr>
        <w:spacing w:after="0"/>
        <w:jc w:val="center"/>
        <w:rPr>
          <w:rFonts w:ascii="Arial" w:eastAsia="Arial" w:hAnsi="Arial" w:cs="Arial"/>
          <w:b/>
          <w:sz w:val="24"/>
          <w:szCs w:val="24"/>
        </w:rPr>
      </w:pPr>
    </w:p>
    <w:p w:rsidR="0038049E" w:rsidRPr="00C460BE" w:rsidRDefault="0038049E" w:rsidP="0038049E">
      <w:pPr>
        <w:spacing w:after="0" w:line="240" w:lineRule="auto"/>
        <w:jc w:val="both"/>
        <w:rPr>
          <w:rFonts w:ascii="Arial" w:eastAsia="Arial" w:hAnsi="Arial" w:cs="Arial"/>
          <w:b/>
          <w:sz w:val="24"/>
          <w:szCs w:val="24"/>
        </w:rPr>
      </w:pPr>
      <w:r w:rsidRPr="00C460BE">
        <w:rPr>
          <w:rFonts w:ascii="Arial" w:eastAsia="Arial" w:hAnsi="Arial" w:cs="Arial"/>
          <w:b/>
          <w:sz w:val="24"/>
          <w:szCs w:val="24"/>
        </w:rPr>
        <w:t>CARLOS</w:t>
      </w:r>
      <w:r>
        <w:rPr>
          <w:rFonts w:ascii="Arial" w:eastAsia="Arial" w:hAnsi="Arial" w:cs="Arial"/>
          <w:b/>
          <w:sz w:val="24"/>
          <w:szCs w:val="24"/>
        </w:rPr>
        <w:t xml:space="preserve"> EDUARDO </w:t>
      </w:r>
      <w:r w:rsidRPr="00C460BE">
        <w:rPr>
          <w:rFonts w:ascii="Arial" w:eastAsia="Arial" w:hAnsi="Arial" w:cs="Arial"/>
          <w:b/>
          <w:sz w:val="24"/>
          <w:szCs w:val="24"/>
        </w:rPr>
        <w:t>GUEVARA V</w:t>
      </w:r>
      <w:r>
        <w:rPr>
          <w:rFonts w:ascii="Arial" w:eastAsia="Arial" w:hAnsi="Arial" w:cs="Arial"/>
          <w:b/>
          <w:sz w:val="24"/>
          <w:szCs w:val="24"/>
        </w:rPr>
        <w:t>.</w:t>
      </w:r>
      <w:r w:rsidRPr="00C460BE">
        <w:rPr>
          <w:rFonts w:ascii="Arial" w:eastAsia="Arial" w:hAnsi="Arial" w:cs="Arial"/>
          <w:b/>
          <w:sz w:val="24"/>
          <w:szCs w:val="24"/>
        </w:rPr>
        <w:t xml:space="preserve">            </w:t>
      </w:r>
      <w:r>
        <w:rPr>
          <w:rFonts w:ascii="Arial" w:eastAsia="Arial" w:hAnsi="Arial" w:cs="Arial"/>
          <w:b/>
          <w:sz w:val="24"/>
          <w:szCs w:val="24"/>
        </w:rPr>
        <w:tab/>
      </w:r>
      <w:r w:rsidRPr="00C460BE">
        <w:rPr>
          <w:rFonts w:ascii="Arial" w:eastAsia="Arial" w:hAnsi="Arial" w:cs="Arial"/>
          <w:b/>
          <w:sz w:val="24"/>
          <w:szCs w:val="24"/>
        </w:rPr>
        <w:t>AYDEÉ LIZARAZO CUBILLOS</w:t>
      </w:r>
    </w:p>
    <w:p w:rsidR="0038049E" w:rsidRPr="00C460BE" w:rsidRDefault="0038049E" w:rsidP="0038049E">
      <w:pPr>
        <w:spacing w:after="0" w:line="240" w:lineRule="auto"/>
        <w:jc w:val="both"/>
        <w:rPr>
          <w:rFonts w:ascii="Arial" w:eastAsia="Arial" w:hAnsi="Arial" w:cs="Arial"/>
          <w:sz w:val="24"/>
          <w:szCs w:val="24"/>
        </w:rPr>
      </w:pPr>
      <w:r w:rsidRPr="00C460BE">
        <w:rPr>
          <w:rFonts w:ascii="Arial" w:eastAsia="Arial" w:hAnsi="Arial" w:cs="Arial"/>
          <w:sz w:val="24"/>
          <w:szCs w:val="24"/>
        </w:rPr>
        <w:t>Senador de la República                         </w:t>
      </w:r>
      <w:r>
        <w:rPr>
          <w:rFonts w:ascii="Arial" w:eastAsia="Arial" w:hAnsi="Arial" w:cs="Arial"/>
          <w:sz w:val="24"/>
          <w:szCs w:val="24"/>
        </w:rPr>
        <w:tab/>
      </w:r>
      <w:r>
        <w:rPr>
          <w:rFonts w:ascii="Arial" w:eastAsia="Arial" w:hAnsi="Arial" w:cs="Arial"/>
          <w:sz w:val="24"/>
          <w:szCs w:val="24"/>
        </w:rPr>
        <w:tab/>
      </w:r>
      <w:r w:rsidRPr="00C460BE">
        <w:rPr>
          <w:rFonts w:ascii="Arial" w:eastAsia="Arial" w:hAnsi="Arial" w:cs="Arial"/>
          <w:sz w:val="24"/>
          <w:szCs w:val="24"/>
        </w:rPr>
        <w:t>Senadora de la República        </w:t>
      </w:r>
    </w:p>
    <w:p w:rsidR="0038049E" w:rsidRPr="00C460BE" w:rsidRDefault="0038049E" w:rsidP="0038049E">
      <w:pPr>
        <w:spacing w:after="0" w:line="240" w:lineRule="auto"/>
        <w:jc w:val="both"/>
        <w:rPr>
          <w:rFonts w:ascii="Arial" w:eastAsia="Arial" w:hAnsi="Arial" w:cs="Arial"/>
          <w:sz w:val="24"/>
          <w:szCs w:val="24"/>
        </w:rPr>
      </w:pPr>
      <w:r w:rsidRPr="00C460BE">
        <w:rPr>
          <w:rFonts w:ascii="Arial" w:eastAsia="Arial" w:hAnsi="Arial" w:cs="Arial"/>
          <w:sz w:val="24"/>
          <w:szCs w:val="24"/>
        </w:rPr>
        <w:t xml:space="preserve">Partido Político MIRA                               </w:t>
      </w:r>
      <w:r>
        <w:rPr>
          <w:rFonts w:ascii="Arial" w:eastAsia="Arial" w:hAnsi="Arial" w:cs="Arial"/>
          <w:sz w:val="24"/>
          <w:szCs w:val="24"/>
        </w:rPr>
        <w:tab/>
      </w:r>
      <w:r w:rsidRPr="00C460BE">
        <w:rPr>
          <w:rFonts w:ascii="Arial" w:eastAsia="Arial" w:hAnsi="Arial" w:cs="Arial"/>
          <w:sz w:val="24"/>
          <w:szCs w:val="24"/>
        </w:rPr>
        <w:t>Partido Político MIRA</w:t>
      </w:r>
    </w:p>
    <w:p w:rsidR="0038049E" w:rsidRDefault="0038049E" w:rsidP="0038049E">
      <w:pPr>
        <w:spacing w:line="240" w:lineRule="auto"/>
        <w:jc w:val="both"/>
        <w:rPr>
          <w:rFonts w:ascii="Arial" w:eastAsia="Arial" w:hAnsi="Arial" w:cs="Arial"/>
          <w:sz w:val="24"/>
          <w:szCs w:val="24"/>
        </w:rPr>
      </w:pPr>
    </w:p>
    <w:p w:rsidR="0038049E" w:rsidRDefault="0038049E" w:rsidP="0038049E">
      <w:pPr>
        <w:spacing w:line="240" w:lineRule="auto"/>
        <w:jc w:val="both"/>
        <w:rPr>
          <w:rFonts w:ascii="Arial" w:eastAsia="Arial" w:hAnsi="Arial" w:cs="Arial"/>
          <w:sz w:val="24"/>
          <w:szCs w:val="24"/>
        </w:rPr>
      </w:pPr>
      <w:r w:rsidRPr="00C460BE">
        <w:rPr>
          <w:rFonts w:ascii="Arial" w:eastAsia="Arial" w:hAnsi="Arial" w:cs="Arial"/>
          <w:sz w:val="24"/>
          <w:szCs w:val="24"/>
        </w:rPr>
        <w:t>     </w:t>
      </w:r>
    </w:p>
    <w:p w:rsidR="0038049E" w:rsidRPr="00C460BE" w:rsidRDefault="0038049E" w:rsidP="0038049E">
      <w:pPr>
        <w:spacing w:line="240" w:lineRule="auto"/>
        <w:jc w:val="both"/>
        <w:rPr>
          <w:rFonts w:ascii="Arial" w:eastAsia="Arial" w:hAnsi="Arial" w:cs="Arial"/>
          <w:sz w:val="24"/>
          <w:szCs w:val="24"/>
        </w:rPr>
      </w:pPr>
      <w:bookmarkStart w:id="2" w:name="_GoBack"/>
      <w:bookmarkEnd w:id="2"/>
    </w:p>
    <w:p w:rsidR="0038049E" w:rsidRPr="00C460BE" w:rsidRDefault="0038049E" w:rsidP="0038049E">
      <w:pPr>
        <w:spacing w:after="0" w:line="240" w:lineRule="auto"/>
        <w:rPr>
          <w:rFonts w:ascii="Arial" w:eastAsia="Arial" w:hAnsi="Arial" w:cs="Arial"/>
          <w:sz w:val="24"/>
          <w:szCs w:val="24"/>
        </w:rPr>
      </w:pPr>
    </w:p>
    <w:p w:rsidR="0038049E" w:rsidRPr="00C460BE" w:rsidRDefault="0038049E" w:rsidP="0038049E">
      <w:pPr>
        <w:spacing w:after="0" w:line="240" w:lineRule="auto"/>
        <w:jc w:val="both"/>
        <w:rPr>
          <w:rFonts w:ascii="Arial" w:eastAsia="Arial" w:hAnsi="Arial" w:cs="Arial"/>
          <w:b/>
          <w:sz w:val="24"/>
          <w:szCs w:val="24"/>
        </w:rPr>
      </w:pPr>
      <w:r w:rsidRPr="00C460BE">
        <w:rPr>
          <w:rFonts w:ascii="Arial" w:eastAsia="Arial" w:hAnsi="Arial" w:cs="Arial"/>
          <w:b/>
          <w:sz w:val="24"/>
          <w:szCs w:val="24"/>
        </w:rPr>
        <w:t xml:space="preserve">ANA PAOLA AGUDELO </w:t>
      </w:r>
      <w:r>
        <w:rPr>
          <w:rFonts w:ascii="Arial" w:eastAsia="Arial" w:hAnsi="Arial" w:cs="Arial"/>
          <w:b/>
          <w:sz w:val="24"/>
          <w:szCs w:val="24"/>
        </w:rPr>
        <w:t>GARCIA</w:t>
      </w:r>
      <w:r w:rsidRPr="00C460BE">
        <w:rPr>
          <w:rFonts w:ascii="Arial" w:eastAsia="Arial" w:hAnsi="Arial" w:cs="Arial"/>
          <w:b/>
          <w:sz w:val="24"/>
          <w:szCs w:val="24"/>
        </w:rPr>
        <w:t xml:space="preserve">                    </w:t>
      </w:r>
      <w:r>
        <w:rPr>
          <w:rFonts w:ascii="Arial" w:eastAsia="Arial" w:hAnsi="Arial" w:cs="Arial"/>
          <w:b/>
          <w:sz w:val="24"/>
          <w:szCs w:val="24"/>
        </w:rPr>
        <w:t>I</w:t>
      </w:r>
      <w:r w:rsidRPr="00C460BE">
        <w:rPr>
          <w:rFonts w:ascii="Arial" w:eastAsia="Arial" w:hAnsi="Arial" w:cs="Arial"/>
          <w:b/>
          <w:sz w:val="24"/>
          <w:szCs w:val="24"/>
        </w:rPr>
        <w:t>RMA LUZ HERRERA</w:t>
      </w:r>
      <w:r>
        <w:rPr>
          <w:rFonts w:ascii="Arial" w:eastAsia="Arial" w:hAnsi="Arial" w:cs="Arial"/>
          <w:b/>
          <w:sz w:val="24"/>
          <w:szCs w:val="24"/>
        </w:rPr>
        <w:t xml:space="preserve"> R. </w:t>
      </w:r>
    </w:p>
    <w:p w:rsidR="0038049E" w:rsidRPr="00C460BE" w:rsidRDefault="0038049E" w:rsidP="0038049E">
      <w:pPr>
        <w:spacing w:after="0" w:line="240" w:lineRule="auto"/>
        <w:jc w:val="both"/>
        <w:rPr>
          <w:rFonts w:ascii="Arial" w:eastAsia="Arial" w:hAnsi="Arial" w:cs="Arial"/>
          <w:sz w:val="24"/>
          <w:szCs w:val="24"/>
        </w:rPr>
      </w:pPr>
      <w:r w:rsidRPr="00C460BE">
        <w:rPr>
          <w:rFonts w:ascii="Arial" w:eastAsia="Arial" w:hAnsi="Arial" w:cs="Arial"/>
          <w:sz w:val="24"/>
          <w:szCs w:val="24"/>
        </w:rPr>
        <w:t xml:space="preserve">Senador de la República                          </w:t>
      </w:r>
      <w:r>
        <w:rPr>
          <w:rFonts w:ascii="Arial" w:eastAsia="Arial" w:hAnsi="Arial" w:cs="Arial"/>
          <w:sz w:val="24"/>
          <w:szCs w:val="24"/>
        </w:rPr>
        <w:tab/>
      </w:r>
      <w:r w:rsidRPr="00C460BE">
        <w:rPr>
          <w:rFonts w:ascii="Arial" w:eastAsia="Arial" w:hAnsi="Arial" w:cs="Arial"/>
          <w:sz w:val="24"/>
          <w:szCs w:val="24"/>
        </w:rPr>
        <w:t>Representante a la Cámara</w:t>
      </w:r>
    </w:p>
    <w:p w:rsidR="0038049E" w:rsidRPr="00C460BE" w:rsidRDefault="0038049E" w:rsidP="0038049E">
      <w:pPr>
        <w:spacing w:after="0" w:line="240" w:lineRule="auto"/>
        <w:jc w:val="both"/>
        <w:rPr>
          <w:rFonts w:ascii="Arial" w:eastAsia="Arial" w:hAnsi="Arial" w:cs="Arial"/>
          <w:sz w:val="24"/>
          <w:szCs w:val="24"/>
        </w:rPr>
      </w:pPr>
      <w:r w:rsidRPr="00C460BE">
        <w:rPr>
          <w:rFonts w:ascii="Arial" w:eastAsia="Arial" w:hAnsi="Arial" w:cs="Arial"/>
          <w:sz w:val="24"/>
          <w:szCs w:val="24"/>
        </w:rPr>
        <w:t xml:space="preserve">Partido Político MIRA                                </w:t>
      </w:r>
      <w:r>
        <w:rPr>
          <w:rFonts w:ascii="Arial" w:eastAsia="Arial" w:hAnsi="Arial" w:cs="Arial"/>
          <w:sz w:val="24"/>
          <w:szCs w:val="24"/>
        </w:rPr>
        <w:tab/>
      </w:r>
      <w:r w:rsidRPr="00C460BE">
        <w:rPr>
          <w:rFonts w:ascii="Arial" w:eastAsia="Arial" w:hAnsi="Arial" w:cs="Arial"/>
          <w:sz w:val="24"/>
          <w:szCs w:val="24"/>
        </w:rPr>
        <w:t>Partido Político MIRA</w:t>
      </w:r>
    </w:p>
    <w:p w:rsidR="007951E7" w:rsidRDefault="007951E7">
      <w:pPr>
        <w:jc w:val="both"/>
        <w:rPr>
          <w:rFonts w:ascii="Arial" w:eastAsia="Arial" w:hAnsi="Arial" w:cs="Arial"/>
          <w:sz w:val="24"/>
          <w:szCs w:val="24"/>
        </w:rPr>
      </w:pPr>
    </w:p>
    <w:p w:rsidR="00A82D64" w:rsidRDefault="00A82D64">
      <w:pPr>
        <w:pBdr>
          <w:top w:val="nil"/>
          <w:left w:val="nil"/>
          <w:bottom w:val="nil"/>
          <w:right w:val="nil"/>
          <w:between w:val="nil"/>
        </w:pBdr>
        <w:spacing w:after="0"/>
        <w:rPr>
          <w:rFonts w:ascii="Arial" w:eastAsia="Arial" w:hAnsi="Arial" w:cs="Arial"/>
          <w:color w:val="000000"/>
          <w:sz w:val="24"/>
          <w:szCs w:val="24"/>
        </w:rPr>
      </w:pPr>
    </w:p>
    <w:sectPr w:rsidR="00A82D64">
      <w:headerReference w:type="default" r:id="rId2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66A" w:rsidRDefault="0060466A">
      <w:pPr>
        <w:spacing w:after="0" w:line="240" w:lineRule="auto"/>
      </w:pPr>
      <w:r>
        <w:separator/>
      </w:r>
    </w:p>
  </w:endnote>
  <w:endnote w:type="continuationSeparator" w:id="0">
    <w:p w:rsidR="0060466A" w:rsidRDefault="00604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66A" w:rsidRDefault="0060466A">
      <w:pPr>
        <w:spacing w:after="0" w:line="240" w:lineRule="auto"/>
      </w:pPr>
      <w:r>
        <w:separator/>
      </w:r>
    </w:p>
  </w:footnote>
  <w:footnote w:type="continuationSeparator" w:id="0">
    <w:p w:rsidR="0060466A" w:rsidRDefault="0060466A">
      <w:pPr>
        <w:spacing w:after="0" w:line="240" w:lineRule="auto"/>
      </w:pPr>
      <w:r>
        <w:continuationSeparator/>
      </w:r>
    </w:p>
  </w:footnote>
  <w:footnote w:id="1">
    <w:p w:rsidR="00A82D64" w:rsidRDefault="007E62C7">
      <w:pPr>
        <w:spacing w:after="0" w:line="240" w:lineRule="auto"/>
        <w:rPr>
          <w:rFonts w:ascii="Cambria" w:eastAsia="Cambria" w:hAnsi="Cambria" w:cs="Cambria"/>
          <w:sz w:val="16"/>
          <w:szCs w:val="16"/>
        </w:rPr>
      </w:pPr>
      <w:r>
        <w:rPr>
          <w:vertAlign w:val="superscript"/>
        </w:rPr>
        <w:footnoteRef/>
      </w:r>
      <w:r>
        <w:rPr>
          <w:sz w:val="16"/>
          <w:szCs w:val="16"/>
        </w:rPr>
        <w:t xml:space="preserve"> </w:t>
      </w:r>
      <w:r>
        <w:rPr>
          <w:rFonts w:ascii="Cambria" w:eastAsia="Cambria" w:hAnsi="Cambria" w:cs="Cambria"/>
          <w:sz w:val="16"/>
          <w:szCs w:val="16"/>
        </w:rPr>
        <w:t xml:space="preserve">Cifras dadas a conocer por el Ministerio de Salud y Protección social en la Audiencia Pública “contratistas y servicio doméstico” realizada en la comisión primera de la Cámara de Representantes el 13 de marzo de 2017. </w:t>
      </w:r>
    </w:p>
  </w:footnote>
  <w:footnote w:id="2">
    <w:p w:rsidR="00A82D64" w:rsidRDefault="007E62C7">
      <w:pPr>
        <w:spacing w:after="0" w:line="240" w:lineRule="auto"/>
        <w:rPr>
          <w:sz w:val="20"/>
          <w:szCs w:val="20"/>
        </w:rPr>
      </w:pPr>
      <w:r>
        <w:rPr>
          <w:vertAlign w:val="superscript"/>
        </w:rPr>
        <w:footnoteRef/>
      </w:r>
      <w:r>
        <w:rPr>
          <w:rFonts w:ascii="Cambria" w:eastAsia="Cambria" w:hAnsi="Cambria" w:cs="Cambria"/>
          <w:sz w:val="16"/>
          <w:szCs w:val="16"/>
        </w:rPr>
        <w:t xml:space="preserve"> </w:t>
      </w:r>
      <w:proofErr w:type="spellStart"/>
      <w:r>
        <w:rPr>
          <w:rFonts w:ascii="Cambria" w:eastAsia="Cambria" w:hAnsi="Cambria" w:cs="Cambria"/>
          <w:sz w:val="16"/>
          <w:szCs w:val="16"/>
        </w:rPr>
        <w:t>Ibidem</w:t>
      </w:r>
      <w:proofErr w:type="spellEnd"/>
    </w:p>
  </w:footnote>
  <w:footnote w:id="3">
    <w:p w:rsidR="00A82D64" w:rsidRDefault="007E62C7">
      <w:pPr>
        <w:pBdr>
          <w:top w:val="nil"/>
          <w:left w:val="nil"/>
          <w:bottom w:val="nil"/>
          <w:right w:val="nil"/>
          <w:between w:val="nil"/>
        </w:pBdr>
        <w:spacing w:after="0" w:line="240" w:lineRule="auto"/>
        <w:rPr>
          <w:rFonts w:ascii="Arial" w:eastAsia="Arial" w:hAnsi="Arial" w:cs="Arial"/>
          <w:color w:val="000000"/>
          <w:sz w:val="20"/>
          <w:szCs w:val="20"/>
        </w:rPr>
      </w:pPr>
      <w:bookmarkStart w:id="1" w:name="_heading=h.30j0zll" w:colFirst="0" w:colLast="0"/>
      <w:bookmarkEnd w:id="1"/>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2"/>
          <w:szCs w:val="12"/>
        </w:rPr>
        <w:t>T</w:t>
      </w:r>
      <w:r>
        <w:rPr>
          <w:rFonts w:ascii="Cambria" w:eastAsia="Cambria" w:hAnsi="Cambria" w:cs="Cambria"/>
          <w:color w:val="000000"/>
          <w:sz w:val="16"/>
          <w:szCs w:val="16"/>
        </w:rPr>
        <w:t xml:space="preserve">omado de </w:t>
      </w:r>
      <w:hyperlink r:id="rId1">
        <w:r>
          <w:rPr>
            <w:rFonts w:ascii="Cambria" w:eastAsia="Cambria" w:hAnsi="Cambria" w:cs="Cambria"/>
            <w:color w:val="000000"/>
            <w:sz w:val="16"/>
            <w:szCs w:val="16"/>
          </w:rPr>
          <w:t>http://www.auditoria.gov.co/Biblioteca_documental/OEE/AGRP11-Contro_al_control_de_la_contratacion.pdf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4E" w:rsidRDefault="001A564E">
    <w:pPr>
      <w:pStyle w:val="Encabezado"/>
    </w:pPr>
    <w:r>
      <w:rPr>
        <w:noProof/>
      </w:rPr>
      <w:drawing>
        <wp:anchor distT="0" distB="0" distL="114300" distR="114300" simplePos="0" relativeHeight="251659264" behindDoc="1" locked="0" layoutInCell="1" allowOverlap="1" wp14:anchorId="41E7C89C" wp14:editId="7407D552">
          <wp:simplePos x="0" y="0"/>
          <wp:positionH relativeFrom="column">
            <wp:posOffset>1640205</wp:posOffset>
          </wp:positionH>
          <wp:positionV relativeFrom="paragraph">
            <wp:posOffset>-151130</wp:posOffset>
          </wp:positionV>
          <wp:extent cx="2558415" cy="788035"/>
          <wp:effectExtent l="0" t="0" r="0" b="0"/>
          <wp:wrapThrough wrapText="bothSides">
            <wp:wrapPolygon edited="0">
              <wp:start x="0" y="0"/>
              <wp:lineTo x="0" y="20886"/>
              <wp:lineTo x="21391" y="20886"/>
              <wp:lineTo x="21391" y="0"/>
              <wp:lineTo x="0" y="0"/>
            </wp:wrapPolygon>
          </wp:wrapThrough>
          <wp:docPr id="3" name="Imagen 3" descr="https://lh4.googleusercontent.com/7Vq3SCTPRnc9ftblh4TchUywCx3r0lwXt4XkSOtbg9AcMNlptYAyEAHsHtfeR9lcGIbyL0VUeSXo-EDBeKTZrFWzAEb2eRvuSmqQ6TSKmj_ljCm9bcp85_NIRNQ0J4oHzLafN8HvNgOBmNR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7Vq3SCTPRnc9ftblh4TchUywCx3r0lwXt4XkSOtbg9AcMNlptYAyEAHsHtfeR9lcGIbyL0VUeSXo-EDBeKTZrFWzAEb2eRvuSmqQ6TSKmj_ljCm9bcp85_NIRNQ0J4oHzLafN8HvNgOBmNRH-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8415" cy="788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64E" w:rsidRDefault="001A564E">
    <w:pPr>
      <w:pStyle w:val="Encabezado"/>
    </w:pPr>
  </w:p>
  <w:p w:rsidR="001A564E" w:rsidRDefault="001A564E">
    <w:pPr>
      <w:pStyle w:val="Encabezado"/>
    </w:pPr>
  </w:p>
  <w:p w:rsidR="001A564E" w:rsidRDefault="001A564E">
    <w:pPr>
      <w:pStyle w:val="Encabezado"/>
    </w:pPr>
  </w:p>
  <w:p w:rsidR="001A564E" w:rsidRDefault="001A56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87A"/>
    <w:multiLevelType w:val="multilevel"/>
    <w:tmpl w:val="590444EE"/>
    <w:lvl w:ilvl="0">
      <w:start w:val="1"/>
      <w:numFmt w:val="upperRoman"/>
      <w:lvlText w:val="%1."/>
      <w:lvlJc w:val="right"/>
      <w:pPr>
        <w:ind w:left="720" w:firstLine="360"/>
      </w:pPr>
      <w:rPr>
        <w:b/>
        <w:sz w:val="24"/>
        <w:szCs w:val="24"/>
        <w:u w:val="none"/>
      </w:rPr>
    </w:lvl>
    <w:lvl w:ilvl="1">
      <w:start w:val="1"/>
      <w:numFmt w:val="lowerLetter"/>
      <w:lvlText w:val="%2."/>
      <w:lvlJc w:val="left"/>
      <w:pPr>
        <w:ind w:left="1440" w:firstLine="1080"/>
      </w:pPr>
      <w:rPr>
        <w:rFonts w:ascii="Tahoma" w:eastAsia="Tahoma" w:hAnsi="Tahoma" w:cs="Tahoma"/>
        <w:b/>
        <w:sz w:val="24"/>
        <w:szCs w:val="24"/>
        <w:u w:val="none"/>
      </w:rPr>
    </w:lvl>
    <w:lvl w:ilvl="2">
      <w:start w:val="1"/>
      <w:numFmt w:val="lowerRoman"/>
      <w:lvlText w:val="%3."/>
      <w:lvlJc w:val="right"/>
      <w:pPr>
        <w:ind w:left="2160" w:firstLine="1800"/>
      </w:pPr>
      <w:rPr>
        <w:rFonts w:ascii="Tahoma" w:eastAsia="Tahoma" w:hAnsi="Tahoma" w:cs="Tahoma"/>
        <w:b/>
        <w:sz w:val="24"/>
        <w:szCs w:val="24"/>
        <w:u w:val="none"/>
      </w:rPr>
    </w:lvl>
    <w:lvl w:ilvl="3">
      <w:start w:val="1"/>
      <w:numFmt w:val="decimal"/>
      <w:lvlText w:val="%4."/>
      <w:lvlJc w:val="left"/>
      <w:pPr>
        <w:ind w:left="2880" w:firstLine="2520"/>
      </w:pPr>
      <w:rPr>
        <w:rFonts w:ascii="Tahoma" w:eastAsia="Tahoma" w:hAnsi="Tahoma" w:cs="Tahoma"/>
        <w:b/>
        <w:sz w:val="24"/>
        <w:szCs w:val="24"/>
        <w:u w:val="none"/>
      </w:rPr>
    </w:lvl>
    <w:lvl w:ilvl="4">
      <w:start w:val="1"/>
      <w:numFmt w:val="lowerLetter"/>
      <w:lvlText w:val="%5."/>
      <w:lvlJc w:val="left"/>
      <w:pPr>
        <w:ind w:left="3600" w:firstLine="3240"/>
      </w:pPr>
      <w:rPr>
        <w:rFonts w:ascii="Tahoma" w:eastAsia="Tahoma" w:hAnsi="Tahoma" w:cs="Tahoma"/>
        <w:b/>
        <w:sz w:val="24"/>
        <w:szCs w:val="24"/>
        <w:u w:val="none"/>
      </w:rPr>
    </w:lvl>
    <w:lvl w:ilvl="5">
      <w:start w:val="1"/>
      <w:numFmt w:val="lowerRoman"/>
      <w:lvlText w:val="%6."/>
      <w:lvlJc w:val="right"/>
      <w:pPr>
        <w:ind w:left="4320" w:firstLine="3960"/>
      </w:pPr>
      <w:rPr>
        <w:rFonts w:ascii="Tahoma" w:eastAsia="Tahoma" w:hAnsi="Tahoma" w:cs="Tahoma"/>
        <w:b/>
        <w:sz w:val="24"/>
        <w:szCs w:val="24"/>
        <w:u w:val="none"/>
      </w:rPr>
    </w:lvl>
    <w:lvl w:ilvl="6">
      <w:start w:val="1"/>
      <w:numFmt w:val="decimal"/>
      <w:lvlText w:val="%7."/>
      <w:lvlJc w:val="left"/>
      <w:pPr>
        <w:ind w:left="5040" w:firstLine="4680"/>
      </w:pPr>
      <w:rPr>
        <w:rFonts w:ascii="Tahoma" w:eastAsia="Tahoma" w:hAnsi="Tahoma" w:cs="Tahoma"/>
        <w:b/>
        <w:sz w:val="24"/>
        <w:szCs w:val="24"/>
        <w:u w:val="none"/>
      </w:rPr>
    </w:lvl>
    <w:lvl w:ilvl="7">
      <w:start w:val="1"/>
      <w:numFmt w:val="lowerLetter"/>
      <w:lvlText w:val="%8."/>
      <w:lvlJc w:val="left"/>
      <w:pPr>
        <w:ind w:left="5760" w:firstLine="5400"/>
      </w:pPr>
      <w:rPr>
        <w:rFonts w:ascii="Tahoma" w:eastAsia="Tahoma" w:hAnsi="Tahoma" w:cs="Tahoma"/>
        <w:b/>
        <w:sz w:val="24"/>
        <w:szCs w:val="24"/>
        <w:u w:val="none"/>
      </w:rPr>
    </w:lvl>
    <w:lvl w:ilvl="8">
      <w:start w:val="1"/>
      <w:numFmt w:val="lowerRoman"/>
      <w:lvlText w:val="%9."/>
      <w:lvlJc w:val="right"/>
      <w:pPr>
        <w:ind w:left="6480" w:firstLine="6120"/>
      </w:pPr>
      <w:rPr>
        <w:rFonts w:ascii="Tahoma" w:eastAsia="Tahoma" w:hAnsi="Tahoma" w:cs="Tahoma"/>
        <w:b/>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82D64"/>
    <w:rsid w:val="00137C09"/>
    <w:rsid w:val="001A564E"/>
    <w:rsid w:val="0028273D"/>
    <w:rsid w:val="00334231"/>
    <w:rsid w:val="0038049E"/>
    <w:rsid w:val="005B41BC"/>
    <w:rsid w:val="005D59AF"/>
    <w:rsid w:val="005F3CCD"/>
    <w:rsid w:val="0060466A"/>
    <w:rsid w:val="007951E7"/>
    <w:rsid w:val="007E62C7"/>
    <w:rsid w:val="008B2C48"/>
    <w:rsid w:val="008C3182"/>
    <w:rsid w:val="00A57FCF"/>
    <w:rsid w:val="00A82D64"/>
    <w:rsid w:val="00B06187"/>
    <w:rsid w:val="00C2214A"/>
    <w:rsid w:val="00C460BE"/>
    <w:rsid w:val="00F951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6B71E9"/>
    <w:pPr>
      <w:ind w:left="720"/>
      <w:contextualSpacing/>
    </w:pPr>
  </w:style>
  <w:style w:type="paragraph" w:customStyle="1" w:styleId="Pa21">
    <w:name w:val="Pa21"/>
    <w:basedOn w:val="Normal"/>
    <w:next w:val="Normal"/>
    <w:uiPriority w:val="99"/>
    <w:rsid w:val="00B97CF9"/>
    <w:pPr>
      <w:autoSpaceDE w:val="0"/>
      <w:autoSpaceDN w:val="0"/>
      <w:adjustRightInd w:val="0"/>
      <w:spacing w:after="0" w:line="231" w:lineRule="atLeast"/>
    </w:pPr>
    <w:rPr>
      <w:rFonts w:ascii="Times New Roman" w:hAnsi="Times New Roman" w:cs="Times New Roman"/>
      <w:sz w:val="24"/>
      <w:szCs w:val="24"/>
    </w:rPr>
  </w:style>
  <w:style w:type="character" w:customStyle="1" w:styleId="A2">
    <w:name w:val="A2"/>
    <w:uiPriority w:val="99"/>
    <w:rsid w:val="00B97CF9"/>
    <w:rPr>
      <w:color w:val="000000"/>
    </w:rPr>
  </w:style>
  <w:style w:type="paragraph" w:customStyle="1" w:styleId="Encabezado3">
    <w:name w:val="Encabezado 3"/>
    <w:basedOn w:val="Normal"/>
    <w:next w:val="Normal"/>
    <w:rsid w:val="001F4D04"/>
    <w:pPr>
      <w:keepNext/>
      <w:keepLines/>
      <w:spacing w:before="320" w:after="80"/>
      <w:contextualSpacing/>
      <w:outlineLvl w:val="2"/>
    </w:pPr>
    <w:rPr>
      <w:rFonts w:ascii="Arial" w:eastAsia="Arial" w:hAnsi="Arial" w:cs="Arial"/>
      <w:color w:val="434343"/>
      <w:sz w:val="28"/>
      <w:szCs w:val="28"/>
      <w:lang w:val="es-CO" w:eastAsia="es-CO"/>
    </w:rPr>
  </w:style>
  <w:style w:type="character" w:customStyle="1" w:styleId="EnlacedeInternet">
    <w:name w:val="Enlace de Internet"/>
    <w:rsid w:val="001F4D04"/>
    <w:rPr>
      <w:color w:val="000080"/>
      <w:u w:val="single"/>
    </w:rPr>
  </w:style>
  <w:style w:type="character" w:customStyle="1" w:styleId="Ancladenotaalpie">
    <w:name w:val="Ancla de nota al pie"/>
    <w:rsid w:val="001F4D04"/>
    <w:rPr>
      <w:vertAlign w:val="superscript"/>
    </w:rPr>
  </w:style>
  <w:style w:type="paragraph" w:styleId="Textonotapie">
    <w:name w:val="footnote text"/>
    <w:basedOn w:val="Normal"/>
    <w:link w:val="TextonotapieCar"/>
    <w:uiPriority w:val="99"/>
    <w:semiHidden/>
    <w:unhideWhenUsed/>
    <w:rsid w:val="001F4D04"/>
    <w:pPr>
      <w:spacing w:after="0" w:line="240" w:lineRule="auto"/>
    </w:pPr>
    <w:rPr>
      <w:rFonts w:ascii="Arial" w:eastAsia="Arial" w:hAnsi="Arial" w:cs="Arial"/>
      <w:color w:val="000000"/>
      <w:sz w:val="20"/>
      <w:szCs w:val="20"/>
      <w:lang w:val="es-CO" w:eastAsia="es-CO"/>
    </w:rPr>
  </w:style>
  <w:style w:type="character" w:customStyle="1" w:styleId="TextonotapieCar">
    <w:name w:val="Texto nota pie Car"/>
    <w:basedOn w:val="Fuentedeprrafopredeter"/>
    <w:link w:val="Textonotapie"/>
    <w:uiPriority w:val="99"/>
    <w:semiHidden/>
    <w:rsid w:val="001F4D04"/>
    <w:rPr>
      <w:rFonts w:ascii="Arial" w:eastAsia="Arial" w:hAnsi="Arial" w:cs="Arial"/>
      <w:color w:val="000000"/>
      <w:sz w:val="20"/>
      <w:szCs w:val="20"/>
      <w:lang w:val="es-CO" w:eastAsia="es-CO"/>
    </w:rPr>
  </w:style>
  <w:style w:type="character" w:styleId="Refdenotaalpie">
    <w:name w:val="footnote reference"/>
    <w:basedOn w:val="Fuentedeprrafopredeter"/>
    <w:uiPriority w:val="99"/>
    <w:semiHidden/>
    <w:unhideWhenUsed/>
    <w:rsid w:val="001F4D04"/>
    <w:rPr>
      <w:vertAlign w:val="superscript"/>
    </w:rPr>
  </w:style>
  <w:style w:type="paragraph" w:customStyle="1" w:styleId="Default">
    <w:name w:val="Default"/>
    <w:rsid w:val="001F4D04"/>
    <w:pPr>
      <w:autoSpaceDE w:val="0"/>
      <w:autoSpaceDN w:val="0"/>
      <w:adjustRightInd w:val="0"/>
      <w:spacing w:after="0" w:line="240" w:lineRule="auto"/>
    </w:pPr>
    <w:rPr>
      <w:rFonts w:ascii="Century Gothic" w:hAnsi="Century Gothic" w:cs="Century Gothic"/>
      <w:color w:val="000000"/>
      <w:sz w:val="24"/>
      <w:szCs w:val="24"/>
      <w:lang w:val="es-CO"/>
    </w:rPr>
  </w:style>
  <w:style w:type="paragraph" w:styleId="Textodeglobo">
    <w:name w:val="Balloon Text"/>
    <w:basedOn w:val="Normal"/>
    <w:link w:val="TextodegloboCar"/>
    <w:uiPriority w:val="99"/>
    <w:semiHidden/>
    <w:unhideWhenUsed/>
    <w:rsid w:val="001F4D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4D04"/>
    <w:rPr>
      <w:rFonts w:ascii="Tahoma" w:hAnsi="Tahoma" w:cs="Tahoma"/>
      <w:sz w:val="16"/>
      <w:szCs w:val="16"/>
    </w:rPr>
  </w:style>
  <w:style w:type="table" w:customStyle="1" w:styleId="TableNormal1">
    <w:name w:val="Table Normal"/>
    <w:uiPriority w:val="2"/>
    <w:semiHidden/>
    <w:unhideWhenUsed/>
    <w:qFormat/>
    <w:rsid w:val="00C40D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40D3C"/>
    <w:pPr>
      <w:widowControl w:val="0"/>
      <w:autoSpaceDE w:val="0"/>
      <w:autoSpaceDN w:val="0"/>
      <w:spacing w:after="0" w:line="240" w:lineRule="auto"/>
      <w:ind w:left="179" w:right="180"/>
      <w:jc w:val="center"/>
    </w:pPr>
    <w:rPr>
      <w:rFonts w:ascii="Arial" w:eastAsia="Arial" w:hAnsi="Arial" w:cs="Arial"/>
      <w:lang w:bidi="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Ind w:w="0" w:type="dxa"/>
      <w:tblCellMar>
        <w:top w:w="0" w:type="dxa"/>
        <w:left w:w="0" w:type="dxa"/>
        <w:bottom w:w="0" w:type="dxa"/>
        <w:right w:w="0" w:type="dxa"/>
      </w:tblCellMar>
    </w:tblPr>
  </w:style>
  <w:style w:type="table" w:customStyle="1" w:styleId="a0">
    <w:basedOn w:val="TableNormal1"/>
    <w:tblPr>
      <w:tblStyleRowBandSize w:val="1"/>
      <w:tblStyleColBandSize w:val="1"/>
      <w:tblInd w:w="0" w:type="dxa"/>
      <w:tblCellMar>
        <w:top w:w="0" w:type="dxa"/>
        <w:left w:w="0" w:type="dxa"/>
        <w:bottom w:w="0" w:type="dxa"/>
        <w:right w:w="0" w:type="dxa"/>
      </w:tblCellMar>
    </w:tblPr>
  </w:style>
  <w:style w:type="character" w:styleId="Hipervnculo">
    <w:name w:val="Hyperlink"/>
    <w:basedOn w:val="Fuentedeprrafopredeter"/>
    <w:uiPriority w:val="99"/>
    <w:semiHidden/>
    <w:unhideWhenUsed/>
    <w:rsid w:val="00FA4B9C"/>
    <w:rPr>
      <w:color w:val="0000FF"/>
      <w:u w:val="single"/>
    </w:rPr>
  </w:style>
  <w:style w:type="table" w:customStyle="1" w:styleId="a1">
    <w:basedOn w:val="TableNormal0"/>
    <w:pPr>
      <w:widowControl w:val="0"/>
      <w:spacing w:after="0" w:line="240" w:lineRule="auto"/>
    </w:pPr>
    <w:tblPr>
      <w:tblStyleRowBandSize w:val="1"/>
      <w:tblStyleColBandSize w:val="1"/>
      <w:tblCellMar>
        <w:top w:w="0" w:type="dxa"/>
        <w:left w:w="0" w:type="dxa"/>
        <w:bottom w:w="0" w:type="dxa"/>
        <w:right w:w="0" w:type="dxa"/>
      </w:tblCellMar>
    </w:tblPr>
  </w:style>
  <w:style w:type="table" w:customStyle="1" w:styleId="a3">
    <w:basedOn w:val="TableNormal0"/>
    <w:pPr>
      <w:widowControl w:val="0"/>
      <w:spacing w:after="0" w:line="240" w:lineRule="auto"/>
    </w:pPr>
    <w:tblPr>
      <w:tblStyleRowBandSize w:val="1"/>
      <w:tblStyleColBandSize w:val="1"/>
      <w:tblCellMar>
        <w:top w:w="0" w:type="dxa"/>
        <w:left w:w="0" w:type="dxa"/>
        <w:bottom w:w="0" w:type="dxa"/>
        <w:right w:w="0" w:type="dxa"/>
      </w:tblCellMar>
    </w:tblPr>
  </w:style>
  <w:style w:type="character" w:styleId="Textoennegrita">
    <w:name w:val="Strong"/>
    <w:basedOn w:val="Fuentedeprrafopredeter"/>
    <w:uiPriority w:val="22"/>
    <w:qFormat/>
    <w:rsid w:val="00A57FCF"/>
    <w:rPr>
      <w:b/>
      <w:bCs/>
    </w:rPr>
  </w:style>
  <w:style w:type="paragraph" w:styleId="NormalWeb">
    <w:name w:val="Normal (Web)"/>
    <w:basedOn w:val="Normal"/>
    <w:uiPriority w:val="99"/>
    <w:semiHidden/>
    <w:unhideWhenUsed/>
    <w:rsid w:val="00A57FCF"/>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1A56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564E"/>
  </w:style>
  <w:style w:type="paragraph" w:styleId="Piedepgina">
    <w:name w:val="footer"/>
    <w:basedOn w:val="Normal"/>
    <w:link w:val="PiedepginaCar"/>
    <w:uiPriority w:val="99"/>
    <w:unhideWhenUsed/>
    <w:rsid w:val="001A56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56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6B71E9"/>
    <w:pPr>
      <w:ind w:left="720"/>
      <w:contextualSpacing/>
    </w:pPr>
  </w:style>
  <w:style w:type="paragraph" w:customStyle="1" w:styleId="Pa21">
    <w:name w:val="Pa21"/>
    <w:basedOn w:val="Normal"/>
    <w:next w:val="Normal"/>
    <w:uiPriority w:val="99"/>
    <w:rsid w:val="00B97CF9"/>
    <w:pPr>
      <w:autoSpaceDE w:val="0"/>
      <w:autoSpaceDN w:val="0"/>
      <w:adjustRightInd w:val="0"/>
      <w:spacing w:after="0" w:line="231" w:lineRule="atLeast"/>
    </w:pPr>
    <w:rPr>
      <w:rFonts w:ascii="Times New Roman" w:hAnsi="Times New Roman" w:cs="Times New Roman"/>
      <w:sz w:val="24"/>
      <w:szCs w:val="24"/>
    </w:rPr>
  </w:style>
  <w:style w:type="character" w:customStyle="1" w:styleId="A2">
    <w:name w:val="A2"/>
    <w:uiPriority w:val="99"/>
    <w:rsid w:val="00B97CF9"/>
    <w:rPr>
      <w:color w:val="000000"/>
    </w:rPr>
  </w:style>
  <w:style w:type="paragraph" w:customStyle="1" w:styleId="Encabezado3">
    <w:name w:val="Encabezado 3"/>
    <w:basedOn w:val="Normal"/>
    <w:next w:val="Normal"/>
    <w:rsid w:val="001F4D04"/>
    <w:pPr>
      <w:keepNext/>
      <w:keepLines/>
      <w:spacing w:before="320" w:after="80"/>
      <w:contextualSpacing/>
      <w:outlineLvl w:val="2"/>
    </w:pPr>
    <w:rPr>
      <w:rFonts w:ascii="Arial" w:eastAsia="Arial" w:hAnsi="Arial" w:cs="Arial"/>
      <w:color w:val="434343"/>
      <w:sz w:val="28"/>
      <w:szCs w:val="28"/>
      <w:lang w:val="es-CO" w:eastAsia="es-CO"/>
    </w:rPr>
  </w:style>
  <w:style w:type="character" w:customStyle="1" w:styleId="EnlacedeInternet">
    <w:name w:val="Enlace de Internet"/>
    <w:rsid w:val="001F4D04"/>
    <w:rPr>
      <w:color w:val="000080"/>
      <w:u w:val="single"/>
    </w:rPr>
  </w:style>
  <w:style w:type="character" w:customStyle="1" w:styleId="Ancladenotaalpie">
    <w:name w:val="Ancla de nota al pie"/>
    <w:rsid w:val="001F4D04"/>
    <w:rPr>
      <w:vertAlign w:val="superscript"/>
    </w:rPr>
  </w:style>
  <w:style w:type="paragraph" w:styleId="Textonotapie">
    <w:name w:val="footnote text"/>
    <w:basedOn w:val="Normal"/>
    <w:link w:val="TextonotapieCar"/>
    <w:uiPriority w:val="99"/>
    <w:semiHidden/>
    <w:unhideWhenUsed/>
    <w:rsid w:val="001F4D04"/>
    <w:pPr>
      <w:spacing w:after="0" w:line="240" w:lineRule="auto"/>
    </w:pPr>
    <w:rPr>
      <w:rFonts w:ascii="Arial" w:eastAsia="Arial" w:hAnsi="Arial" w:cs="Arial"/>
      <w:color w:val="000000"/>
      <w:sz w:val="20"/>
      <w:szCs w:val="20"/>
      <w:lang w:val="es-CO" w:eastAsia="es-CO"/>
    </w:rPr>
  </w:style>
  <w:style w:type="character" w:customStyle="1" w:styleId="TextonotapieCar">
    <w:name w:val="Texto nota pie Car"/>
    <w:basedOn w:val="Fuentedeprrafopredeter"/>
    <w:link w:val="Textonotapie"/>
    <w:uiPriority w:val="99"/>
    <w:semiHidden/>
    <w:rsid w:val="001F4D04"/>
    <w:rPr>
      <w:rFonts w:ascii="Arial" w:eastAsia="Arial" w:hAnsi="Arial" w:cs="Arial"/>
      <w:color w:val="000000"/>
      <w:sz w:val="20"/>
      <w:szCs w:val="20"/>
      <w:lang w:val="es-CO" w:eastAsia="es-CO"/>
    </w:rPr>
  </w:style>
  <w:style w:type="character" w:styleId="Refdenotaalpie">
    <w:name w:val="footnote reference"/>
    <w:basedOn w:val="Fuentedeprrafopredeter"/>
    <w:uiPriority w:val="99"/>
    <w:semiHidden/>
    <w:unhideWhenUsed/>
    <w:rsid w:val="001F4D04"/>
    <w:rPr>
      <w:vertAlign w:val="superscript"/>
    </w:rPr>
  </w:style>
  <w:style w:type="paragraph" w:customStyle="1" w:styleId="Default">
    <w:name w:val="Default"/>
    <w:rsid w:val="001F4D04"/>
    <w:pPr>
      <w:autoSpaceDE w:val="0"/>
      <w:autoSpaceDN w:val="0"/>
      <w:adjustRightInd w:val="0"/>
      <w:spacing w:after="0" w:line="240" w:lineRule="auto"/>
    </w:pPr>
    <w:rPr>
      <w:rFonts w:ascii="Century Gothic" w:hAnsi="Century Gothic" w:cs="Century Gothic"/>
      <w:color w:val="000000"/>
      <w:sz w:val="24"/>
      <w:szCs w:val="24"/>
      <w:lang w:val="es-CO"/>
    </w:rPr>
  </w:style>
  <w:style w:type="paragraph" w:styleId="Textodeglobo">
    <w:name w:val="Balloon Text"/>
    <w:basedOn w:val="Normal"/>
    <w:link w:val="TextodegloboCar"/>
    <w:uiPriority w:val="99"/>
    <w:semiHidden/>
    <w:unhideWhenUsed/>
    <w:rsid w:val="001F4D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4D04"/>
    <w:rPr>
      <w:rFonts w:ascii="Tahoma" w:hAnsi="Tahoma" w:cs="Tahoma"/>
      <w:sz w:val="16"/>
      <w:szCs w:val="16"/>
    </w:rPr>
  </w:style>
  <w:style w:type="table" w:customStyle="1" w:styleId="TableNormal1">
    <w:name w:val="Table Normal"/>
    <w:uiPriority w:val="2"/>
    <w:semiHidden/>
    <w:unhideWhenUsed/>
    <w:qFormat/>
    <w:rsid w:val="00C40D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40D3C"/>
    <w:pPr>
      <w:widowControl w:val="0"/>
      <w:autoSpaceDE w:val="0"/>
      <w:autoSpaceDN w:val="0"/>
      <w:spacing w:after="0" w:line="240" w:lineRule="auto"/>
      <w:ind w:left="179" w:right="180"/>
      <w:jc w:val="center"/>
    </w:pPr>
    <w:rPr>
      <w:rFonts w:ascii="Arial" w:eastAsia="Arial" w:hAnsi="Arial" w:cs="Arial"/>
      <w:lang w:bidi="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Ind w:w="0" w:type="dxa"/>
      <w:tblCellMar>
        <w:top w:w="0" w:type="dxa"/>
        <w:left w:w="0" w:type="dxa"/>
        <w:bottom w:w="0" w:type="dxa"/>
        <w:right w:w="0" w:type="dxa"/>
      </w:tblCellMar>
    </w:tblPr>
  </w:style>
  <w:style w:type="table" w:customStyle="1" w:styleId="a0">
    <w:basedOn w:val="TableNormal1"/>
    <w:tblPr>
      <w:tblStyleRowBandSize w:val="1"/>
      <w:tblStyleColBandSize w:val="1"/>
      <w:tblInd w:w="0" w:type="dxa"/>
      <w:tblCellMar>
        <w:top w:w="0" w:type="dxa"/>
        <w:left w:w="0" w:type="dxa"/>
        <w:bottom w:w="0" w:type="dxa"/>
        <w:right w:w="0" w:type="dxa"/>
      </w:tblCellMar>
    </w:tblPr>
  </w:style>
  <w:style w:type="character" w:styleId="Hipervnculo">
    <w:name w:val="Hyperlink"/>
    <w:basedOn w:val="Fuentedeprrafopredeter"/>
    <w:uiPriority w:val="99"/>
    <w:semiHidden/>
    <w:unhideWhenUsed/>
    <w:rsid w:val="00FA4B9C"/>
    <w:rPr>
      <w:color w:val="0000FF"/>
      <w:u w:val="single"/>
    </w:rPr>
  </w:style>
  <w:style w:type="table" w:customStyle="1" w:styleId="a1">
    <w:basedOn w:val="TableNormal0"/>
    <w:pPr>
      <w:widowControl w:val="0"/>
      <w:spacing w:after="0" w:line="240" w:lineRule="auto"/>
    </w:pPr>
    <w:tblPr>
      <w:tblStyleRowBandSize w:val="1"/>
      <w:tblStyleColBandSize w:val="1"/>
      <w:tblCellMar>
        <w:top w:w="0" w:type="dxa"/>
        <w:left w:w="0" w:type="dxa"/>
        <w:bottom w:w="0" w:type="dxa"/>
        <w:right w:w="0" w:type="dxa"/>
      </w:tblCellMar>
    </w:tblPr>
  </w:style>
  <w:style w:type="table" w:customStyle="1" w:styleId="a3">
    <w:basedOn w:val="TableNormal0"/>
    <w:pPr>
      <w:widowControl w:val="0"/>
      <w:spacing w:after="0" w:line="240" w:lineRule="auto"/>
    </w:pPr>
    <w:tblPr>
      <w:tblStyleRowBandSize w:val="1"/>
      <w:tblStyleColBandSize w:val="1"/>
      <w:tblCellMar>
        <w:top w:w="0" w:type="dxa"/>
        <w:left w:w="0" w:type="dxa"/>
        <w:bottom w:w="0" w:type="dxa"/>
        <w:right w:w="0" w:type="dxa"/>
      </w:tblCellMar>
    </w:tblPr>
  </w:style>
  <w:style w:type="character" w:styleId="Textoennegrita">
    <w:name w:val="Strong"/>
    <w:basedOn w:val="Fuentedeprrafopredeter"/>
    <w:uiPriority w:val="22"/>
    <w:qFormat/>
    <w:rsid w:val="00A57FCF"/>
    <w:rPr>
      <w:b/>
      <w:bCs/>
    </w:rPr>
  </w:style>
  <w:style w:type="paragraph" w:styleId="NormalWeb">
    <w:name w:val="Normal (Web)"/>
    <w:basedOn w:val="Normal"/>
    <w:uiPriority w:val="99"/>
    <w:semiHidden/>
    <w:unhideWhenUsed/>
    <w:rsid w:val="00A57FCF"/>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1A56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564E"/>
  </w:style>
  <w:style w:type="paragraph" w:styleId="Piedepgina">
    <w:name w:val="footer"/>
    <w:basedOn w:val="Normal"/>
    <w:link w:val="PiedepginaCar"/>
    <w:uiPriority w:val="99"/>
    <w:unhideWhenUsed/>
    <w:rsid w:val="001A56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5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115666">
      <w:bodyDiv w:val="1"/>
      <w:marLeft w:val="0"/>
      <w:marRight w:val="0"/>
      <w:marTop w:val="0"/>
      <w:marBottom w:val="0"/>
      <w:divBdr>
        <w:top w:val="none" w:sz="0" w:space="0" w:color="auto"/>
        <w:left w:val="none" w:sz="0" w:space="0" w:color="auto"/>
        <w:bottom w:val="none" w:sz="0" w:space="0" w:color="auto"/>
        <w:right w:val="none" w:sz="0" w:space="0" w:color="auto"/>
      </w:divBdr>
    </w:div>
    <w:div w:id="1136676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ara.gov.co/representantes/inti-raul-asprilla-reyes" TargetMode="External"/><Relationship Id="rId18" Type="http://schemas.openxmlformats.org/officeDocument/2006/relationships/hyperlink" Target="http://www.camara.gov.co/representantes/jose-elver-hernandez-casas"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www.camara.gov.co/representantes/german-bernardo-carlosama-lopez" TargetMode="External"/><Relationship Id="rId7" Type="http://schemas.openxmlformats.org/officeDocument/2006/relationships/footnotes" Target="footnotes.xml"/><Relationship Id="rId12" Type="http://schemas.openxmlformats.org/officeDocument/2006/relationships/hyperlink" Target="http://www.camara.gov.co/representantes/oscar-ospina-quintero" TargetMode="External"/><Relationship Id="rId17" Type="http://schemas.openxmlformats.org/officeDocument/2006/relationships/hyperlink" Target="http://www.camara.gov.co/representantes/carlos-german-navas-talero" TargetMode="External"/><Relationship Id="rId25" Type="http://schemas.openxmlformats.org/officeDocument/2006/relationships/hyperlink" Target="http://www.camara.gov.co/representantes/juan-carlos-garcia-gomez" TargetMode="External"/><Relationship Id="rId2" Type="http://schemas.openxmlformats.org/officeDocument/2006/relationships/numbering" Target="numbering.xml"/><Relationship Id="rId16" Type="http://schemas.openxmlformats.org/officeDocument/2006/relationships/hyperlink" Target="http://www.camara.gov.co/representantes/fabio-raul-amin-saleme" TargetMode="External"/><Relationship Id="rId20" Type="http://schemas.openxmlformats.org/officeDocument/2006/relationships/hyperlink" Target="http://www.camara.gov.co/representantes/wilson-cordoba-men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ara.gov.co/representantes/angelica-lisbeth-lozano-correa" TargetMode="External"/><Relationship Id="rId24" Type="http://schemas.openxmlformats.org/officeDocument/2006/relationships/hyperlink" Target="http://www.camara.gov.co/representantes/hernan-penagos-giraldo" TargetMode="External"/><Relationship Id="rId5" Type="http://schemas.openxmlformats.org/officeDocument/2006/relationships/settings" Target="settings.xml"/><Relationship Id="rId15" Type="http://schemas.openxmlformats.org/officeDocument/2006/relationships/hyperlink" Target="http://www.camara.gov.co/representantes/angela-maria-robledo-gomez" TargetMode="External"/><Relationship Id="rId23" Type="http://schemas.openxmlformats.org/officeDocument/2006/relationships/hyperlink" Target="http://www.camara.gov.co/representantes/rodrigo-lara-restrepo" TargetMode="External"/><Relationship Id="rId28" Type="http://schemas.openxmlformats.org/officeDocument/2006/relationships/image" Target="media/image3.png"/><Relationship Id="rId10" Type="http://schemas.openxmlformats.org/officeDocument/2006/relationships/hyperlink" Target="http://www.camara.gov.co/maritza-martinez-aristizabal" TargetMode="External"/><Relationship Id="rId19" Type="http://schemas.openxmlformats.org/officeDocument/2006/relationships/hyperlink" Target="http://www.camara.gov.co/representantes/oscar-de-jesus-hurtado-perez"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amara.gov.co/claudia-nayibe-lopez-hernandez" TargetMode="External"/><Relationship Id="rId14" Type="http://schemas.openxmlformats.org/officeDocument/2006/relationships/hyperlink" Target="http://www.camara.gov.co/representantes/argenis-velasquez-ramirez" TargetMode="External"/><Relationship Id="rId22" Type="http://schemas.openxmlformats.org/officeDocument/2006/relationships/hyperlink" Target="http://www.camara.gov.co/representantes/carlos-arturo-correa-mojica" TargetMode="External"/><Relationship Id="rId27" Type="http://schemas.openxmlformats.org/officeDocument/2006/relationships/image" Target="media/image2.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uditoria.gov.co/Biblioteca_documental/OEE/AGRP11-Contro_al_control_de_la_contrata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MPPlzWD1L69pHUKwFrQEDnlRvw==">AMUW2mWAfqvuYCLYlGmbNgGX8ZljEPCNrtbte355fkVjd7lsYDnCNWGCwFU05YVM12abg6wyMcZK7QvTPzSrxaAC891B9oUp9t8z7erNUpPgFhwkkUSBbpNq1ynOj9k3z9do3Mu5lESY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15</Pages>
  <Words>4071</Words>
  <Characters>22396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Alexandra Rincon Lozano</dc:creator>
  <cp:lastModifiedBy>Diana Alexandra Rincon Lozano</cp:lastModifiedBy>
  <cp:revision>17</cp:revision>
  <cp:lastPrinted>2019-08-05T20:19:00Z</cp:lastPrinted>
  <dcterms:created xsi:type="dcterms:W3CDTF">2019-08-05T15:34:00Z</dcterms:created>
  <dcterms:modified xsi:type="dcterms:W3CDTF">2019-08-05T20:32:00Z</dcterms:modified>
</cp:coreProperties>
</file>